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911ED" w14:textId="77777777" w:rsidR="00657936" w:rsidRPr="00067A43" w:rsidRDefault="00657936" w:rsidP="00657936">
      <w:pPr>
        <w:spacing w:before="100" w:beforeAutospacing="1" w:after="100" w:afterAutospacing="1" w:line="240" w:lineRule="auto"/>
        <w:jc w:val="center"/>
        <w:rPr>
          <w:rFonts w:ascii="Times New Roman" w:eastAsia="Times New Roman" w:hAnsi="Times New Roman" w:cs="Times New Roman"/>
          <w:sz w:val="28"/>
          <w:szCs w:val="28"/>
          <w:lang w:val="en-US" w:eastAsia="el-GR"/>
        </w:rPr>
      </w:pPr>
      <w:r w:rsidRPr="00067A43">
        <w:rPr>
          <w:rFonts w:ascii="Times New Roman" w:eastAsia="Times New Roman" w:hAnsi="Times New Roman" w:cs="Times New Roman"/>
          <w:b/>
          <w:bCs/>
          <w:sz w:val="28"/>
          <w:szCs w:val="28"/>
          <w:lang w:val="en-US" w:eastAsia="el-GR"/>
        </w:rPr>
        <w:t>Detection of Potential Fire Hazard Points in Electrical Networks Using Thermal Cameras and Their Mapping</w:t>
      </w:r>
    </w:p>
    <w:p w14:paraId="2CA36002" w14:textId="77777777" w:rsidR="00657936" w:rsidRPr="006D5DAD" w:rsidRDefault="00657936" w:rsidP="006D5DAD">
      <w:pPr>
        <w:spacing w:after="0" w:line="360" w:lineRule="auto"/>
        <w:jc w:val="center"/>
        <w:rPr>
          <w:rFonts w:ascii="Times New Roman" w:eastAsia="Times New Roman" w:hAnsi="Times New Roman" w:cs="Times New Roman"/>
          <w:lang w:val="en-US" w:eastAsia="el-GR"/>
        </w:rPr>
      </w:pPr>
      <w:r w:rsidRPr="00203B95">
        <w:rPr>
          <w:rFonts w:ascii="Times New Roman" w:eastAsia="Times New Roman" w:hAnsi="Times New Roman" w:cs="Times New Roman"/>
          <w:b/>
          <w:bCs/>
          <w:lang w:val="en-US" w:eastAsia="el-GR"/>
        </w:rPr>
        <w:t>Apostolidis Apostolos-Maximos</w:t>
      </w:r>
      <w:r w:rsidRPr="006D5DAD">
        <w:rPr>
          <w:rFonts w:ascii="Times New Roman" w:hAnsi="Times New Roman" w:cs="Times New Roman"/>
          <w:b/>
          <w:bCs/>
          <w:vertAlign w:val="superscript"/>
          <w:lang w:val="en-US"/>
        </w:rPr>
        <w:t>1</w:t>
      </w:r>
    </w:p>
    <w:p w14:paraId="0F5A6FBA" w14:textId="6F83C181" w:rsidR="00657936" w:rsidRPr="00203B95" w:rsidRDefault="00657936" w:rsidP="006D5DAD">
      <w:pPr>
        <w:spacing w:after="0" w:line="360" w:lineRule="auto"/>
        <w:jc w:val="center"/>
        <w:rPr>
          <w:rFonts w:ascii="Times New Roman" w:eastAsia="Times New Roman" w:hAnsi="Times New Roman" w:cs="Times New Roman"/>
          <w:sz w:val="24"/>
          <w:szCs w:val="24"/>
          <w:lang w:val="en-US" w:eastAsia="el-GR"/>
        </w:rPr>
      </w:pPr>
      <w:r w:rsidRPr="006D5DAD">
        <w:rPr>
          <w:rFonts w:ascii="Times New Roman" w:hAnsi="Times New Roman" w:cs="Times New Roman"/>
          <w:b/>
          <w:bCs/>
          <w:sz w:val="20"/>
          <w:szCs w:val="20"/>
          <w:vertAlign w:val="superscript"/>
          <w:lang w:val="en-US"/>
        </w:rPr>
        <w:t>1</w:t>
      </w:r>
      <w:r w:rsidRPr="006D5DAD">
        <w:rPr>
          <w:rFonts w:ascii="Times New Roman" w:eastAsia="Times New Roman" w:hAnsi="Times New Roman" w:cs="Times New Roman"/>
          <w:sz w:val="20"/>
          <w:szCs w:val="20"/>
          <w:lang w:val="en-US" w:eastAsia="el-GR"/>
        </w:rPr>
        <w:t>Model</w:t>
      </w:r>
      <w:r w:rsidRPr="00203B95">
        <w:rPr>
          <w:rFonts w:ascii="Times New Roman" w:eastAsia="Times New Roman" w:hAnsi="Times New Roman" w:cs="Times New Roman"/>
          <w:sz w:val="20"/>
          <w:szCs w:val="20"/>
          <w:lang w:val="en-US" w:eastAsia="el-GR"/>
        </w:rPr>
        <w:t xml:space="preserve"> Ecclesiastical Lyceum - </w:t>
      </w:r>
      <w:proofErr w:type="spellStart"/>
      <w:r w:rsidRPr="00203B95">
        <w:rPr>
          <w:rFonts w:ascii="Times New Roman" w:eastAsia="Times New Roman" w:hAnsi="Times New Roman" w:cs="Times New Roman"/>
          <w:sz w:val="20"/>
          <w:szCs w:val="20"/>
          <w:lang w:val="en-US" w:eastAsia="el-GR"/>
        </w:rPr>
        <w:t>Rizarios</w:t>
      </w:r>
      <w:proofErr w:type="spellEnd"/>
      <w:r w:rsidRPr="00203B95">
        <w:rPr>
          <w:rFonts w:ascii="Times New Roman" w:eastAsia="Times New Roman" w:hAnsi="Times New Roman" w:cs="Times New Roman"/>
          <w:sz w:val="20"/>
          <w:szCs w:val="20"/>
          <w:lang w:val="en-US" w:eastAsia="el-GR"/>
        </w:rPr>
        <w:t xml:space="preserve"> Ecclesiastical School</w:t>
      </w:r>
      <w:r w:rsidRPr="00203B95">
        <w:rPr>
          <w:rFonts w:ascii="Times New Roman" w:eastAsia="Times New Roman" w:hAnsi="Times New Roman" w:cs="Times New Roman"/>
          <w:sz w:val="24"/>
          <w:szCs w:val="24"/>
          <w:lang w:val="en-US" w:eastAsia="el-GR"/>
        </w:rPr>
        <w:br/>
      </w:r>
      <w:hyperlink r:id="rId5" w:history="1">
        <w:r w:rsidRPr="00203B95">
          <w:rPr>
            <w:rFonts w:ascii="Times New Roman" w:eastAsia="Times New Roman" w:hAnsi="Times New Roman" w:cs="Times New Roman"/>
            <w:sz w:val="24"/>
            <w:szCs w:val="24"/>
            <w:lang w:val="en-US" w:eastAsia="el-GR"/>
          </w:rPr>
          <w:t>maximosapostolidis@gmail.com</w:t>
        </w:r>
      </w:hyperlink>
    </w:p>
    <w:p w14:paraId="1B7CD9FC" w14:textId="19EE3EEA" w:rsidR="00657936" w:rsidRPr="00203B95" w:rsidRDefault="00657936" w:rsidP="006D5DAD">
      <w:pPr>
        <w:spacing w:before="100" w:beforeAutospacing="1" w:after="100" w:afterAutospacing="1" w:line="360" w:lineRule="auto"/>
        <w:jc w:val="center"/>
        <w:rPr>
          <w:rFonts w:ascii="Times New Roman" w:eastAsia="Times New Roman" w:hAnsi="Times New Roman" w:cs="Times New Roman"/>
          <w:lang w:val="en-US" w:eastAsia="el-GR"/>
        </w:rPr>
      </w:pPr>
      <w:r w:rsidRPr="00203B95">
        <w:rPr>
          <w:rFonts w:ascii="Times New Roman" w:eastAsia="Times New Roman" w:hAnsi="Times New Roman" w:cs="Times New Roman"/>
          <w:b/>
          <w:bCs/>
          <w:lang w:val="en-US" w:eastAsia="el-GR"/>
        </w:rPr>
        <w:t>Supervising Professor</w:t>
      </w:r>
      <w:r w:rsidRPr="00203B95">
        <w:rPr>
          <w:rFonts w:ascii="Times New Roman" w:eastAsia="Times New Roman" w:hAnsi="Times New Roman" w:cs="Times New Roman"/>
          <w:lang w:val="en-US" w:eastAsia="el-GR"/>
        </w:rPr>
        <w:t>: Kosmas Adamidis</w:t>
      </w:r>
      <w:r w:rsidRPr="00203B95">
        <w:rPr>
          <w:rFonts w:ascii="Times New Roman" w:eastAsia="Times New Roman" w:hAnsi="Times New Roman" w:cs="Times New Roman"/>
          <w:sz w:val="24"/>
          <w:szCs w:val="24"/>
          <w:lang w:val="en-US" w:eastAsia="el-GR"/>
        </w:rPr>
        <w:br/>
      </w:r>
      <w:r w:rsidRPr="00203B95">
        <w:rPr>
          <w:rFonts w:ascii="Times New Roman" w:eastAsia="Times New Roman" w:hAnsi="Times New Roman" w:cs="Times New Roman"/>
          <w:sz w:val="20"/>
          <w:szCs w:val="20"/>
          <w:lang w:val="en-US" w:eastAsia="el-GR"/>
        </w:rPr>
        <w:t xml:space="preserve">PE 04.01 </w:t>
      </w:r>
      <w:r w:rsidRPr="006D5DAD">
        <w:rPr>
          <w:rFonts w:ascii="Times New Roman" w:eastAsia="Times New Roman" w:hAnsi="Times New Roman" w:cs="Times New Roman"/>
          <w:sz w:val="20"/>
          <w:szCs w:val="20"/>
          <w:lang w:val="en-US" w:eastAsia="el-GR"/>
        </w:rPr>
        <w:t>Model</w:t>
      </w:r>
      <w:r w:rsidRPr="00203B95">
        <w:rPr>
          <w:rFonts w:ascii="Times New Roman" w:eastAsia="Times New Roman" w:hAnsi="Times New Roman" w:cs="Times New Roman"/>
          <w:sz w:val="20"/>
          <w:szCs w:val="20"/>
          <w:lang w:val="en-US" w:eastAsia="el-GR"/>
        </w:rPr>
        <w:t xml:space="preserve"> Ecclesiastical Lyceum - </w:t>
      </w:r>
      <w:proofErr w:type="spellStart"/>
      <w:r w:rsidRPr="00203B95">
        <w:rPr>
          <w:rFonts w:ascii="Times New Roman" w:eastAsia="Times New Roman" w:hAnsi="Times New Roman" w:cs="Times New Roman"/>
          <w:sz w:val="20"/>
          <w:szCs w:val="20"/>
          <w:lang w:val="en-US" w:eastAsia="el-GR"/>
        </w:rPr>
        <w:t>Rizarios</w:t>
      </w:r>
      <w:proofErr w:type="spellEnd"/>
      <w:r w:rsidRPr="00203B95">
        <w:rPr>
          <w:rFonts w:ascii="Times New Roman" w:eastAsia="Times New Roman" w:hAnsi="Times New Roman" w:cs="Times New Roman"/>
          <w:sz w:val="20"/>
          <w:szCs w:val="20"/>
          <w:lang w:val="en-US" w:eastAsia="el-GR"/>
        </w:rPr>
        <w:t xml:space="preserve"> Ecclesiastical School</w:t>
      </w:r>
      <w:r w:rsidRPr="00203B95">
        <w:rPr>
          <w:rFonts w:ascii="Times New Roman" w:eastAsia="Times New Roman" w:hAnsi="Times New Roman" w:cs="Times New Roman"/>
          <w:sz w:val="24"/>
          <w:szCs w:val="24"/>
          <w:lang w:val="en-US" w:eastAsia="el-GR"/>
        </w:rPr>
        <w:br/>
      </w:r>
      <w:hyperlink r:id="rId6" w:history="1">
        <w:r w:rsidRPr="00203B95">
          <w:rPr>
            <w:rFonts w:ascii="Times New Roman" w:eastAsia="Times New Roman" w:hAnsi="Times New Roman" w:cs="Times New Roman"/>
            <w:lang w:val="en-US" w:eastAsia="el-GR"/>
          </w:rPr>
          <w:t>physlab@hotmail.gr</w:t>
        </w:r>
      </w:hyperlink>
    </w:p>
    <w:p w14:paraId="559E322E" w14:textId="47BED3E1" w:rsidR="00C927A8" w:rsidRPr="00203B95" w:rsidRDefault="00A4251E" w:rsidP="00C927A8">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4"/>
          <w:szCs w:val="24"/>
          <w:lang w:val="en-US" w:eastAsia="el-GR"/>
        </w:rPr>
        <w:t xml:space="preserve">            </w:t>
      </w:r>
      <w:r w:rsidR="00C927A8" w:rsidRPr="00203B95">
        <w:rPr>
          <w:rFonts w:ascii="Times New Roman" w:eastAsia="Times New Roman" w:hAnsi="Times New Roman" w:cs="Times New Roman"/>
          <w:b/>
          <w:bCs/>
          <w:sz w:val="24"/>
          <w:szCs w:val="24"/>
          <w:lang w:val="en-US" w:eastAsia="el-GR"/>
        </w:rPr>
        <w:t>ABSTRACT</w:t>
      </w:r>
    </w:p>
    <w:p w14:paraId="30F7E494" w14:textId="763404A9" w:rsidR="00C927A8" w:rsidRPr="00203B95" w:rsidRDefault="00210848" w:rsidP="008B0526">
      <w:pPr>
        <w:spacing w:before="100" w:beforeAutospacing="1" w:after="100" w:afterAutospacing="1" w:line="240" w:lineRule="auto"/>
        <w:jc w:val="both"/>
        <w:rPr>
          <w:rFonts w:ascii="Times New Roman" w:eastAsia="Times New Roman" w:hAnsi="Times New Roman" w:cs="Times New Roman"/>
          <w:i/>
          <w:iCs/>
          <w:sz w:val="24"/>
          <w:szCs w:val="24"/>
          <w:lang w:val="en-US" w:eastAsia="el-GR"/>
        </w:rPr>
      </w:pPr>
      <w:r>
        <w:rPr>
          <w:rFonts w:ascii="Times New Roman" w:eastAsia="Times New Roman" w:hAnsi="Times New Roman" w:cs="Times New Roman"/>
          <w:i/>
          <w:iCs/>
          <w:sz w:val="24"/>
          <w:szCs w:val="24"/>
          <w:lang w:val="en-US" w:eastAsia="el-GR"/>
        </w:rPr>
        <w:t xml:space="preserve">       </w:t>
      </w:r>
      <w:r w:rsidR="00C927A8" w:rsidRPr="00203B95">
        <w:rPr>
          <w:rFonts w:ascii="Times New Roman" w:eastAsia="Times New Roman" w:hAnsi="Times New Roman" w:cs="Times New Roman"/>
          <w:i/>
          <w:iCs/>
          <w:sz w:val="24"/>
          <w:szCs w:val="24"/>
          <w:lang w:val="en-US" w:eastAsia="el-GR"/>
        </w:rPr>
        <w:t>This project aims to develop an advanced system for detecting potential fire hazard points along power transmission networks using thermal cameras and GPS technology. Focusing on areas where transmission lines are close to vegetation, the objective is to create a comprehensive risk map that will assist utility companies and authorities in preventive maintenance and fire mitigation efforts. Thermal cameras capable of detecting temperature anomalies indicative of overheating will be mounted on unmanned aerial vehicles or other mobile units to inspect the network. These cameras will record real-time temperature data, identifying sensitive points. Simultaneously, GPS coordinates will be logged for each identified hazard point. In addition to recording thermal anomalies, this project will utilize a Geographic Information System (GIS) to visualize the spatial distribution of these risks and map them.</w:t>
      </w:r>
    </w:p>
    <w:p w14:paraId="523B689E" w14:textId="3CC95060" w:rsidR="00D57965" w:rsidRDefault="00C927A8" w:rsidP="00C927A8">
      <w:pPr>
        <w:spacing w:line="360" w:lineRule="auto"/>
        <w:rPr>
          <w:rFonts w:ascii="Times New Roman" w:eastAsia="Times New Roman" w:hAnsi="Times New Roman" w:cs="Times New Roman"/>
          <w:sz w:val="24"/>
          <w:szCs w:val="24"/>
          <w:lang w:val="en-US" w:eastAsia="el-GR"/>
        </w:rPr>
      </w:pPr>
      <w:r w:rsidRPr="00203B95">
        <w:rPr>
          <w:rFonts w:ascii="Times New Roman" w:eastAsia="Times New Roman" w:hAnsi="Times New Roman" w:cs="Times New Roman"/>
          <w:b/>
          <w:bCs/>
          <w:sz w:val="24"/>
          <w:szCs w:val="24"/>
          <w:lang w:val="en-US" w:eastAsia="el-GR"/>
        </w:rPr>
        <w:t>KEYWORDS</w:t>
      </w:r>
      <w:r w:rsidRPr="00203B95">
        <w:rPr>
          <w:rFonts w:ascii="Times New Roman" w:eastAsia="Times New Roman" w:hAnsi="Times New Roman" w:cs="Times New Roman"/>
          <w:sz w:val="24"/>
          <w:szCs w:val="24"/>
          <w:lang w:val="en-US" w:eastAsia="el-GR"/>
        </w:rPr>
        <w:t xml:space="preserve">: </w:t>
      </w:r>
      <w:r w:rsidRPr="00203B95">
        <w:rPr>
          <w:rFonts w:ascii="Times New Roman" w:eastAsia="Times New Roman" w:hAnsi="Times New Roman" w:cs="Times New Roman"/>
          <w:i/>
          <w:iCs/>
          <w:sz w:val="24"/>
          <w:szCs w:val="24"/>
          <w:lang w:val="en-US" w:eastAsia="el-GR"/>
        </w:rPr>
        <w:t>Fire, thermal camera, GPS, GIS, mapping.</w:t>
      </w:r>
    </w:p>
    <w:p w14:paraId="3CEEC035" w14:textId="110B462B" w:rsidR="008B0526" w:rsidRPr="00203B95" w:rsidRDefault="00A4251E" w:rsidP="008B0526">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4"/>
          <w:szCs w:val="24"/>
          <w:lang w:val="en-US" w:eastAsia="el-GR"/>
        </w:rPr>
        <w:t xml:space="preserve">            </w:t>
      </w:r>
      <w:r w:rsidR="008B0526" w:rsidRPr="00203B95">
        <w:rPr>
          <w:rFonts w:ascii="Times New Roman" w:eastAsia="Times New Roman" w:hAnsi="Times New Roman" w:cs="Times New Roman"/>
          <w:b/>
          <w:bCs/>
          <w:sz w:val="24"/>
          <w:szCs w:val="24"/>
          <w:lang w:val="en-US" w:eastAsia="el-GR"/>
        </w:rPr>
        <w:t>INTRODUCTION</w:t>
      </w:r>
    </w:p>
    <w:p w14:paraId="2E509103" w14:textId="459C5403" w:rsidR="008B0526" w:rsidRPr="00203B95" w:rsidRDefault="00210848" w:rsidP="008B0526">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8B0526" w:rsidRPr="00203B95">
        <w:rPr>
          <w:rFonts w:ascii="Times New Roman" w:eastAsia="Times New Roman" w:hAnsi="Times New Roman" w:cs="Times New Roman"/>
          <w:sz w:val="24"/>
          <w:szCs w:val="24"/>
          <w:lang w:val="en-US" w:eastAsia="el-GR"/>
        </w:rPr>
        <w:t>Wildfires are among the most destructive natural disasters, with severe impacts on the environment, infrastructure, and human safety (Allison et al., 2016). As global temperatures rise and extreme weather events become more frequent, the risk of wildfires increases, particularly in areas where human infrastructure intersects with natural landscapes. One of the primary causes of wildfires is power transmission networks coming into contact with vegetation, such as trees, branches, and trunks. When power transmission cables come into contact with flammable materials, they can cause fires, especially during dry seasons or periods of strong winds. Addressing this risk is crucial for utility companies and governments aiming to prevent catastrophic wildfires before they occur (</w:t>
      </w:r>
      <w:proofErr w:type="spellStart"/>
      <w:r w:rsidR="008B0526" w:rsidRPr="00203B95">
        <w:rPr>
          <w:rFonts w:ascii="Times New Roman" w:eastAsia="Times New Roman" w:hAnsi="Times New Roman" w:cs="Times New Roman"/>
          <w:sz w:val="24"/>
          <w:szCs w:val="24"/>
          <w:lang w:val="en-US" w:eastAsia="el-GR"/>
        </w:rPr>
        <w:t>Shamsoshoara</w:t>
      </w:r>
      <w:proofErr w:type="spellEnd"/>
      <w:r w:rsidR="008B0526" w:rsidRPr="00203B95">
        <w:rPr>
          <w:rFonts w:ascii="Times New Roman" w:eastAsia="Times New Roman" w:hAnsi="Times New Roman" w:cs="Times New Roman"/>
          <w:sz w:val="24"/>
          <w:szCs w:val="24"/>
          <w:lang w:val="en-US" w:eastAsia="el-GR"/>
        </w:rPr>
        <w:t xml:space="preserve"> et al., 2020).</w:t>
      </w:r>
    </w:p>
    <w:p w14:paraId="63D7FF2C" w14:textId="4D396FF4" w:rsidR="008B0526" w:rsidRPr="00203B95" w:rsidRDefault="00210848" w:rsidP="008B0526">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8B0526" w:rsidRPr="00203B95">
        <w:rPr>
          <w:rFonts w:ascii="Times New Roman" w:eastAsia="Times New Roman" w:hAnsi="Times New Roman" w:cs="Times New Roman"/>
          <w:sz w:val="24"/>
          <w:szCs w:val="24"/>
          <w:lang w:val="en-US" w:eastAsia="el-GR"/>
        </w:rPr>
        <w:t>Transmission networks often pass through remote areas, making it challenging to manually monitor every section of the network (</w:t>
      </w:r>
      <w:proofErr w:type="spellStart"/>
      <w:r w:rsidR="008B0526" w:rsidRPr="00203B95">
        <w:rPr>
          <w:rFonts w:ascii="Times New Roman" w:eastAsia="Times New Roman" w:hAnsi="Times New Roman" w:cs="Times New Roman"/>
          <w:sz w:val="24"/>
          <w:szCs w:val="24"/>
          <w:lang w:val="en-US" w:eastAsia="el-GR"/>
        </w:rPr>
        <w:t>Demkiv</w:t>
      </w:r>
      <w:proofErr w:type="spellEnd"/>
      <w:r w:rsidR="008B0526" w:rsidRPr="00203B95">
        <w:rPr>
          <w:rFonts w:ascii="Times New Roman" w:eastAsia="Times New Roman" w:hAnsi="Times New Roman" w:cs="Times New Roman"/>
          <w:sz w:val="24"/>
          <w:szCs w:val="24"/>
          <w:lang w:val="en-US" w:eastAsia="el-GR"/>
        </w:rPr>
        <w:t xml:space="preserve"> et al., 2023). Traditional methods of fire risk detection, such as periodic physical inspections and vegetation pruning, are both labor-intensive and limited in their ability to identify potential risks in real-time. Consequently, there is an urgent need for more advanced technologies capable of continuously monitoring transmission lines and identifying potential fire hazards at an early stage. This study proposes the use of thermal cameras and GPS technology to detect overheating or electrical faults at transmission points where power lines are at risk of </w:t>
      </w:r>
      <w:proofErr w:type="spellStart"/>
      <w:r w:rsidR="008B0526" w:rsidRPr="00203B95">
        <w:rPr>
          <w:rFonts w:ascii="Times New Roman" w:eastAsia="Times New Roman" w:hAnsi="Times New Roman" w:cs="Times New Roman"/>
          <w:sz w:val="24"/>
          <w:szCs w:val="24"/>
          <w:lang w:val="en-US" w:eastAsia="el-GR"/>
        </w:rPr>
        <w:t>contacting</w:t>
      </w:r>
      <w:proofErr w:type="spellEnd"/>
      <w:r w:rsidR="008B0526" w:rsidRPr="00203B95">
        <w:rPr>
          <w:rFonts w:ascii="Times New Roman" w:eastAsia="Times New Roman" w:hAnsi="Times New Roman" w:cs="Times New Roman"/>
          <w:sz w:val="24"/>
          <w:szCs w:val="24"/>
          <w:lang w:val="en-US" w:eastAsia="el-GR"/>
        </w:rPr>
        <w:t xml:space="preserve"> vegetation (López et al., 2020; Zhao &amp; Song, 2021).</w:t>
      </w:r>
    </w:p>
    <w:p w14:paraId="70652814" w14:textId="2BEF59AE" w:rsidR="008B0526" w:rsidRPr="00203B95" w:rsidRDefault="00F845FD" w:rsidP="008B0526">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lastRenderedPageBreak/>
        <w:t xml:space="preserve">       </w:t>
      </w:r>
      <w:r w:rsidR="008B0526" w:rsidRPr="00203B95">
        <w:rPr>
          <w:rFonts w:ascii="Times New Roman" w:eastAsia="Times New Roman" w:hAnsi="Times New Roman" w:cs="Times New Roman"/>
          <w:sz w:val="24"/>
          <w:szCs w:val="24"/>
          <w:lang w:val="en-US" w:eastAsia="el-GR"/>
        </w:rPr>
        <w:t>To enhance the effectiveness of thermal imaging, GPS technology will be used to geographically locate every point where a thermal anomaly is detected. This will enable precise mapping of hazardous zones along the transmission network. By collecting the geographic coordinates of risk points, utility companies and authorities can gain a clear picture of where maintenance or vegetation pruning is needed. The combination of thermal imaging data and GPS forms the foundation for creating a detailed fire hazard map, which can be further analyzed and used for risk management (Chen &amp; Zhu, 2022).</w:t>
      </w:r>
    </w:p>
    <w:p w14:paraId="73BF7316" w14:textId="1499D1F0" w:rsidR="008B0526" w:rsidRPr="00203B95" w:rsidRDefault="00210848" w:rsidP="008B0526">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8B0526" w:rsidRPr="00203B95">
        <w:rPr>
          <w:rFonts w:ascii="Times New Roman" w:eastAsia="Times New Roman" w:hAnsi="Times New Roman" w:cs="Times New Roman"/>
          <w:sz w:val="24"/>
          <w:szCs w:val="24"/>
          <w:lang w:val="en-US" w:eastAsia="el-GR"/>
        </w:rPr>
        <w:t>Data collected through thermal cameras and GPS will be processed and visualized using GIS software. GIS allows the integration of spatial data with other relevant information, such as vegetation density, topography, and weather conditions. By layering thermal and GPS data with environmental factors, the project will produce a comprehensive risk map highlighting high-risk areas along the transmission network. This map will serve as a critical tool for utility companies, forest management services, and emergency response agencies in their efforts to mitigate fire risks (Rossi et al., 2021; Silano &amp; Saska, 2023).</w:t>
      </w:r>
    </w:p>
    <w:p w14:paraId="12AEFB85" w14:textId="2D7DDB1A" w:rsidR="008B0526" w:rsidRPr="00203B95" w:rsidRDefault="00210848" w:rsidP="008B0526">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8B0526" w:rsidRPr="00203B95">
        <w:rPr>
          <w:rFonts w:ascii="Times New Roman" w:eastAsia="Times New Roman" w:hAnsi="Times New Roman" w:cs="Times New Roman"/>
          <w:sz w:val="24"/>
          <w:szCs w:val="24"/>
          <w:lang w:val="en-US" w:eastAsia="el-GR"/>
        </w:rPr>
        <w:t>Furthermore, the risk map will not only visualize current risk areas but also facilitate real-time monitoring of transmission lines. Changes in environmental conditions, such as increased winds or prolonged heatwaves, can exacerbate the risk of ignition. Continuous thermal monitoring and GPS tracking will allow authorities to update the risk map as conditions evolve. This dynamic approach enables timely interventions, such as targeted vegetation clearance or network shutdowns, to prevent fire ignition (Martin et al., 2019).</w:t>
      </w:r>
    </w:p>
    <w:p w14:paraId="0969C2D4" w14:textId="2CA0E7F5" w:rsidR="00C25E9B" w:rsidRDefault="00210848"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8B0526" w:rsidRPr="00203B95">
        <w:rPr>
          <w:rFonts w:ascii="Times New Roman" w:eastAsia="Times New Roman" w:hAnsi="Times New Roman" w:cs="Times New Roman"/>
          <w:sz w:val="24"/>
          <w:szCs w:val="24"/>
          <w:lang w:val="en-US" w:eastAsia="el-GR"/>
        </w:rPr>
        <w:t>The integration of advanced technologies, such as thermal imaging, GPS, and GIS, represents a significant improvement over traditional methods of fire risk management in power transmission networks. Thermal cameras provide precise detection of overheating, while GPS enables the accurate geographical identification of risk points. Combined with GIS analysis, these technologies create a robust system for real-time fire ignition monitoring and prevention. Additionally, the use of machine learning for prediction adds a predictive element that can help utility companies stay ahead of emerging risks (Bongiovanni et al., 2020).</w:t>
      </w:r>
    </w:p>
    <w:p w14:paraId="633753D4" w14:textId="09993926" w:rsidR="00FD21EE" w:rsidRPr="00203B95" w:rsidRDefault="00A4251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7"/>
          <w:szCs w:val="27"/>
          <w:lang w:val="en-US" w:eastAsia="el-GR"/>
        </w:rPr>
        <w:t xml:space="preserve">            </w:t>
      </w:r>
      <w:r w:rsidR="00FD21EE" w:rsidRPr="00203B95">
        <w:rPr>
          <w:rFonts w:ascii="Times New Roman" w:eastAsia="Times New Roman" w:hAnsi="Times New Roman" w:cs="Times New Roman"/>
          <w:b/>
          <w:bCs/>
          <w:sz w:val="27"/>
          <w:szCs w:val="27"/>
          <w:lang w:val="en-US" w:eastAsia="el-GR"/>
        </w:rPr>
        <w:t>METHODOLOGY</w:t>
      </w:r>
    </w:p>
    <w:p w14:paraId="5C97D883" w14:textId="610EE0BC" w:rsidR="00FD21EE" w:rsidRDefault="00210848" w:rsidP="00FD21EE">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FD21EE" w:rsidRPr="00203B95">
        <w:rPr>
          <w:rFonts w:ascii="Times New Roman" w:eastAsia="Times New Roman" w:hAnsi="Times New Roman" w:cs="Times New Roman"/>
          <w:sz w:val="24"/>
          <w:szCs w:val="24"/>
          <w:lang w:val="en-US" w:eastAsia="el-GR"/>
        </w:rPr>
        <w:t>This study integrates multiple technologies, such as thermal imaging, GPS, and Geographic Information System (GIS) mapping, to identify and assess fire ignition risks along power transmission networks.</w:t>
      </w:r>
    </w:p>
    <w:p w14:paraId="741977FF" w14:textId="77777777" w:rsidR="004A2B74" w:rsidRDefault="008418AF" w:rsidP="00FD21EE">
      <w:pPr>
        <w:spacing w:before="100" w:beforeAutospacing="1" w:after="100" w:afterAutospacing="1" w:line="240" w:lineRule="auto"/>
        <w:jc w:val="both"/>
        <w:rPr>
          <w:rFonts w:ascii="Times New Roman" w:eastAsia="Times New Roman" w:hAnsi="Times New Roman" w:cs="Times New Roman"/>
          <w:b/>
          <w:bCs/>
          <w:sz w:val="20"/>
          <w:szCs w:val="20"/>
          <w:lang w:val="en-US" w:eastAsia="el-GR"/>
        </w:rPr>
      </w:pPr>
      <w:r>
        <w:rPr>
          <w:noProof/>
        </w:rPr>
        <w:lastRenderedPageBreak/>
        <w:drawing>
          <wp:inline distT="0" distB="0" distL="0" distR="0" wp14:anchorId="02C10DCB" wp14:editId="433ADFF1">
            <wp:extent cx="5560828" cy="2512439"/>
            <wp:effectExtent l="0" t="0" r="1905"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1120" cy="2535161"/>
                    </a:xfrm>
                    <a:prstGeom prst="rect">
                      <a:avLst/>
                    </a:prstGeom>
                  </pic:spPr>
                </pic:pic>
              </a:graphicData>
            </a:graphic>
          </wp:inline>
        </w:drawing>
      </w:r>
      <w:r w:rsidR="00FD21EE" w:rsidRPr="00203B95">
        <w:rPr>
          <w:rFonts w:ascii="Times New Roman" w:eastAsia="Times New Roman" w:hAnsi="Times New Roman" w:cs="Times New Roman"/>
          <w:b/>
          <w:bCs/>
          <w:sz w:val="20"/>
          <w:szCs w:val="20"/>
          <w:lang w:val="en-US" w:eastAsia="el-GR"/>
        </w:rPr>
        <w:t>Figure 1: Examples of power lines with dense vegetation.</w:t>
      </w:r>
    </w:p>
    <w:p w14:paraId="66291E38" w14:textId="794959CC" w:rsidR="00C25E9B" w:rsidRDefault="00FD21EE" w:rsidP="00C25E9B">
      <w:pPr>
        <w:spacing w:before="100" w:beforeAutospacing="1" w:after="100" w:afterAutospacing="1" w:line="240" w:lineRule="auto"/>
        <w:jc w:val="both"/>
        <w:rPr>
          <w:rFonts w:ascii="Times New Roman" w:eastAsia="Times New Roman" w:hAnsi="Times New Roman" w:cs="Times New Roman"/>
          <w:b/>
          <w:bCs/>
          <w:sz w:val="20"/>
          <w:szCs w:val="20"/>
          <w:lang w:val="en-US" w:eastAsia="el-GR"/>
        </w:rPr>
      </w:pPr>
      <w:r w:rsidRPr="00203B95">
        <w:rPr>
          <w:rFonts w:ascii="Times New Roman" w:eastAsia="Times New Roman" w:hAnsi="Times New Roman" w:cs="Times New Roman"/>
          <w:sz w:val="24"/>
          <w:szCs w:val="24"/>
          <w:lang w:val="en-US" w:eastAsia="el-GR"/>
        </w:rPr>
        <w:br/>
      </w:r>
      <w:r w:rsidR="00210848">
        <w:rPr>
          <w:rFonts w:ascii="Times New Roman" w:eastAsia="Times New Roman" w:hAnsi="Times New Roman" w:cs="Times New Roman"/>
          <w:sz w:val="24"/>
          <w:szCs w:val="24"/>
          <w:lang w:val="en-US" w:eastAsia="el-GR"/>
        </w:rPr>
        <w:t xml:space="preserve">       </w:t>
      </w:r>
      <w:r w:rsidRPr="00203B95">
        <w:rPr>
          <w:rFonts w:ascii="Times New Roman" w:eastAsia="Times New Roman" w:hAnsi="Times New Roman" w:cs="Times New Roman"/>
          <w:sz w:val="24"/>
          <w:szCs w:val="24"/>
          <w:lang w:val="en-US" w:eastAsia="el-GR"/>
        </w:rPr>
        <w:t>The primary data sources consist of thermal camera measurements, GPS coordinates, and environmental data, which are combined and processed to produce a risk map. The project focuses on both real-time monitoring of power transmission lines and predictive analysis of future areas prone to fires. This section describes the data collection process, tools and techniques used, as well as the methods for analyzing and visualizing the data.</w:t>
      </w:r>
    </w:p>
    <w:p w14:paraId="3DF39399" w14:textId="497D4767" w:rsidR="00FD21EE" w:rsidRPr="00203B95" w:rsidRDefault="00FD21EE" w:rsidP="00C25E9B">
      <w:pPr>
        <w:spacing w:before="100" w:beforeAutospacing="1" w:after="100" w:afterAutospacing="1" w:line="240" w:lineRule="auto"/>
        <w:jc w:val="both"/>
        <w:rPr>
          <w:rFonts w:ascii="Times New Roman" w:eastAsia="Times New Roman" w:hAnsi="Times New Roman" w:cs="Times New Roman"/>
          <w:b/>
          <w:bCs/>
          <w:sz w:val="20"/>
          <w:szCs w:val="20"/>
          <w:lang w:val="en-US" w:eastAsia="el-GR"/>
        </w:rPr>
      </w:pPr>
      <w:r w:rsidRPr="00203B95">
        <w:rPr>
          <w:rFonts w:ascii="Times New Roman" w:eastAsia="Times New Roman" w:hAnsi="Times New Roman" w:cs="Times New Roman"/>
          <w:b/>
          <w:bCs/>
          <w:sz w:val="24"/>
          <w:szCs w:val="24"/>
          <w:lang w:val="en-US" w:eastAsia="el-GR"/>
        </w:rPr>
        <w:t>Equipment</w:t>
      </w:r>
    </w:p>
    <w:p w14:paraId="4472335E" w14:textId="0DDE572F" w:rsidR="00FD21EE" w:rsidRDefault="00210848" w:rsidP="00FD21EE">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FD21EE" w:rsidRPr="00203B95">
        <w:rPr>
          <w:rFonts w:ascii="Times New Roman" w:eastAsia="Times New Roman" w:hAnsi="Times New Roman" w:cs="Times New Roman"/>
          <w:sz w:val="24"/>
          <w:szCs w:val="24"/>
          <w:lang w:val="en-US" w:eastAsia="el-GR"/>
        </w:rPr>
        <w:t xml:space="preserve">The equipment consists of a DJI Matrice 600 Pro drone, a </w:t>
      </w:r>
      <w:proofErr w:type="spellStart"/>
      <w:r w:rsidR="00FD21EE" w:rsidRPr="00203B95">
        <w:rPr>
          <w:rFonts w:ascii="Times New Roman" w:eastAsia="Times New Roman" w:hAnsi="Times New Roman" w:cs="Times New Roman"/>
          <w:sz w:val="24"/>
          <w:szCs w:val="24"/>
          <w:lang w:val="en-US" w:eastAsia="el-GR"/>
        </w:rPr>
        <w:t>Gremsy</w:t>
      </w:r>
      <w:proofErr w:type="spellEnd"/>
      <w:r w:rsidR="00FD21EE" w:rsidRPr="00203B95">
        <w:rPr>
          <w:rFonts w:ascii="Times New Roman" w:eastAsia="Times New Roman" w:hAnsi="Times New Roman" w:cs="Times New Roman"/>
          <w:sz w:val="24"/>
          <w:szCs w:val="24"/>
          <w:lang w:val="en-US" w:eastAsia="el-GR"/>
        </w:rPr>
        <w:t xml:space="preserve"> S1 thermal camera integrated into the DJI Matrice 600 Pro, a handheld FLIR E5 Pro thermal camera, and a GPS </w:t>
      </w:r>
      <w:proofErr w:type="spellStart"/>
      <w:r w:rsidR="00FD21EE" w:rsidRPr="00203B95">
        <w:rPr>
          <w:rFonts w:ascii="Times New Roman" w:eastAsia="Times New Roman" w:hAnsi="Times New Roman" w:cs="Times New Roman"/>
          <w:sz w:val="24"/>
          <w:szCs w:val="24"/>
          <w:lang w:val="en-US" w:eastAsia="el-GR"/>
        </w:rPr>
        <w:t>SouthGalaxy</w:t>
      </w:r>
      <w:proofErr w:type="spellEnd"/>
      <w:r w:rsidR="00FD21EE" w:rsidRPr="00203B95">
        <w:rPr>
          <w:rFonts w:ascii="Times New Roman" w:eastAsia="Times New Roman" w:hAnsi="Times New Roman" w:cs="Times New Roman"/>
          <w:sz w:val="24"/>
          <w:szCs w:val="24"/>
          <w:lang w:val="en-US" w:eastAsia="el-GR"/>
        </w:rPr>
        <w:t xml:space="preserve"> G7 Rover Set. The provision and use of the above equipment were made in collaboration with the Department of Surveying Engineering and Geoinformatics of the University of West Attica (UWA).</w:t>
      </w:r>
    </w:p>
    <w:p w14:paraId="2E2D1BDA" w14:textId="77777777" w:rsidR="00D6063F" w:rsidRDefault="00611525" w:rsidP="00FD21EE">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noProof/>
        </w:rPr>
        <w:drawing>
          <wp:inline distT="0" distB="0" distL="0" distR="0" wp14:anchorId="514EE246" wp14:editId="18F8D66A">
            <wp:extent cx="3498112" cy="2150982"/>
            <wp:effectExtent l="0" t="0" r="762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498112" cy="2150982"/>
                    </a:xfrm>
                    <a:prstGeom prst="rect">
                      <a:avLst/>
                    </a:prstGeom>
                  </pic:spPr>
                </pic:pic>
              </a:graphicData>
            </a:graphic>
          </wp:inline>
        </w:drawing>
      </w:r>
    </w:p>
    <w:p w14:paraId="59D44AA8" w14:textId="77777777" w:rsidR="00C25E9B" w:rsidRDefault="00FD21E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203B95">
        <w:rPr>
          <w:rFonts w:ascii="Times New Roman" w:eastAsia="Times New Roman" w:hAnsi="Times New Roman" w:cs="Times New Roman"/>
          <w:b/>
          <w:bCs/>
          <w:sz w:val="20"/>
          <w:szCs w:val="20"/>
          <w:lang w:val="en-US" w:eastAsia="el-GR"/>
        </w:rPr>
        <w:t xml:space="preserve">Figure 2: </w:t>
      </w:r>
      <w:r w:rsidRPr="00203B95">
        <w:rPr>
          <w:rFonts w:ascii="Times New Roman" w:eastAsia="Times New Roman" w:hAnsi="Times New Roman" w:cs="Times New Roman"/>
          <w:sz w:val="20"/>
          <w:szCs w:val="20"/>
          <w:lang w:val="en-US" w:eastAsia="el-GR"/>
        </w:rPr>
        <w:t>Equipment.</w:t>
      </w:r>
    </w:p>
    <w:p w14:paraId="0C7C0875" w14:textId="6DD9DBDB" w:rsidR="00FD21EE" w:rsidRPr="00203B95" w:rsidRDefault="00FD21E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203B95">
        <w:rPr>
          <w:rFonts w:ascii="Times New Roman" w:eastAsia="Times New Roman" w:hAnsi="Times New Roman" w:cs="Times New Roman"/>
          <w:b/>
          <w:bCs/>
          <w:sz w:val="24"/>
          <w:szCs w:val="24"/>
          <w:lang w:val="en-US" w:eastAsia="el-GR"/>
        </w:rPr>
        <w:t>Data Collection</w:t>
      </w:r>
    </w:p>
    <w:p w14:paraId="0D5D312C" w14:textId="5019EC54" w:rsidR="00FD21EE" w:rsidRDefault="00210848" w:rsidP="00FD21EE">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FD21EE" w:rsidRPr="00203B95">
        <w:rPr>
          <w:rFonts w:ascii="Times New Roman" w:eastAsia="Times New Roman" w:hAnsi="Times New Roman" w:cs="Times New Roman"/>
          <w:sz w:val="24"/>
          <w:szCs w:val="24"/>
          <w:lang w:val="en-US" w:eastAsia="el-GR"/>
        </w:rPr>
        <w:t xml:space="preserve">Thermal cameras mounted on unmanned aerial vehicles or ground vehicles are the main data collection tools used for monitoring transmission lines. These cameras capture infrared </w:t>
      </w:r>
      <w:r w:rsidR="00FD21EE" w:rsidRPr="00203B95">
        <w:rPr>
          <w:rFonts w:ascii="Times New Roman" w:eastAsia="Times New Roman" w:hAnsi="Times New Roman" w:cs="Times New Roman"/>
          <w:sz w:val="24"/>
          <w:szCs w:val="24"/>
          <w:lang w:val="en-US" w:eastAsia="el-GR"/>
        </w:rPr>
        <w:lastRenderedPageBreak/>
        <w:t>radiation emitted by objects, allowing the detection of abnormal thermal signatures, which may indicate potential fire ignition points, such as overheating transmission lines or vegetation in contact with electrical infrastructure. The thermal cameras record high-resolution temperature data across the transmission network in real-time. Simultaneously, GPS coordinates are logged at each point where a thermal anomaly is detected. This enables precise geographic localization of hazardous points along the network, ensuring that the data can be accurately mapped and monitored.</w:t>
      </w:r>
    </w:p>
    <w:p w14:paraId="1AB40B98" w14:textId="77777777" w:rsidR="00C25E9B" w:rsidRDefault="00E255B5"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noProof/>
        </w:rPr>
        <w:drawing>
          <wp:inline distT="0" distB="0" distL="0" distR="0" wp14:anchorId="113F9248" wp14:editId="4EDB9C89">
            <wp:extent cx="5667375" cy="1068917"/>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9484" cy="1080631"/>
                    </a:xfrm>
                    <a:prstGeom prst="rect">
                      <a:avLst/>
                    </a:prstGeom>
                  </pic:spPr>
                </pic:pic>
              </a:graphicData>
            </a:graphic>
          </wp:inline>
        </w:drawing>
      </w:r>
      <w:r w:rsidR="00FD21EE" w:rsidRPr="00203B95">
        <w:rPr>
          <w:rFonts w:ascii="Times New Roman" w:eastAsia="Times New Roman" w:hAnsi="Times New Roman" w:cs="Times New Roman"/>
          <w:b/>
          <w:bCs/>
          <w:sz w:val="20"/>
          <w:szCs w:val="20"/>
          <w:lang w:val="en-US" w:eastAsia="el-GR"/>
        </w:rPr>
        <w:t xml:space="preserve">Figure 3: </w:t>
      </w:r>
      <w:r w:rsidR="00FD21EE" w:rsidRPr="00203B95">
        <w:rPr>
          <w:rFonts w:ascii="Times New Roman" w:eastAsia="Times New Roman" w:hAnsi="Times New Roman" w:cs="Times New Roman"/>
          <w:sz w:val="20"/>
          <w:szCs w:val="20"/>
          <w:lang w:val="en-US" w:eastAsia="el-GR"/>
        </w:rPr>
        <w:t>Data Collection.</w:t>
      </w:r>
    </w:p>
    <w:p w14:paraId="2733E8B5" w14:textId="165D773D" w:rsidR="00FD21EE" w:rsidRPr="00203B95" w:rsidRDefault="00FD21E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203B95">
        <w:rPr>
          <w:rFonts w:ascii="Times New Roman" w:eastAsia="Times New Roman" w:hAnsi="Times New Roman" w:cs="Times New Roman"/>
          <w:b/>
          <w:bCs/>
          <w:sz w:val="24"/>
          <w:szCs w:val="24"/>
          <w:lang w:val="en-US" w:eastAsia="el-GR"/>
        </w:rPr>
        <w:t>Data Processing and Analysis</w:t>
      </w:r>
    </w:p>
    <w:p w14:paraId="54947DB9" w14:textId="4B8D7687" w:rsidR="00C25E9B" w:rsidRDefault="00210848"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FD21EE" w:rsidRPr="00203B95">
        <w:rPr>
          <w:rFonts w:ascii="Times New Roman" w:eastAsia="Times New Roman" w:hAnsi="Times New Roman" w:cs="Times New Roman"/>
          <w:sz w:val="24"/>
          <w:szCs w:val="24"/>
          <w:lang w:val="en-US" w:eastAsia="el-GR"/>
        </w:rPr>
        <w:t>Once thermal and GPS data are collected, they are processed using GIS software to create spatial layers displaying risk points along the transmission network. Thermal data are analyzed to identify thermal signatures exceeding safe limits, while GPS data provide exact coordinates for these hotspots. The GIS platform is used to map these points and overlay them with environmental data to identify areas where conditions are most favorable for fire ignition.</w:t>
      </w:r>
    </w:p>
    <w:p w14:paraId="4F7BD662" w14:textId="266CC1AA" w:rsidR="00D17BF4" w:rsidRPr="00203B95" w:rsidRDefault="00A4251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7"/>
          <w:szCs w:val="27"/>
          <w:lang w:val="en-US" w:eastAsia="el-GR"/>
        </w:rPr>
        <w:t xml:space="preserve">            </w:t>
      </w:r>
      <w:r w:rsidR="00D17BF4" w:rsidRPr="00203B95">
        <w:rPr>
          <w:rFonts w:ascii="Times New Roman" w:eastAsia="Times New Roman" w:hAnsi="Times New Roman" w:cs="Times New Roman"/>
          <w:b/>
          <w:bCs/>
          <w:sz w:val="27"/>
          <w:szCs w:val="27"/>
          <w:lang w:val="en-US" w:eastAsia="el-GR"/>
        </w:rPr>
        <w:t>RESULTS</w:t>
      </w:r>
    </w:p>
    <w:p w14:paraId="779DBBA4" w14:textId="5DA67E9F" w:rsidR="00C25E9B" w:rsidRDefault="00210848"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D17BF4" w:rsidRPr="00203B95">
        <w:rPr>
          <w:rFonts w:ascii="Times New Roman" w:eastAsia="Times New Roman" w:hAnsi="Times New Roman" w:cs="Times New Roman"/>
          <w:sz w:val="24"/>
          <w:szCs w:val="24"/>
          <w:lang w:val="en-US" w:eastAsia="el-GR"/>
        </w:rPr>
        <w:t>The integration of thermal imaging, GPS, and GIS technologies in this study provided a comprehensive dataset highlighting potential fire ignition points along power transmission networks. The thermal imaging system successfully identified multiple focus points where temperature anomalies indicated overheating, faulty equipment, or vegetation encroachment near transmission lines. These focus points were located using GPS coordinates, enabling precise mapping of hazardous zones. The results revealed a clear pattern of increased fire risk in areas with dense vegetation and closer proximity to power transmission lines, emphasizing the importance of vegetation management in fire prevention.</w:t>
      </w:r>
    </w:p>
    <w:p w14:paraId="0A1AC6D0" w14:textId="4BFE58B3" w:rsidR="00D17BF4" w:rsidRPr="00203B95" w:rsidRDefault="00D17BF4"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203B95">
        <w:rPr>
          <w:rFonts w:ascii="Times New Roman" w:eastAsia="Times New Roman" w:hAnsi="Times New Roman" w:cs="Times New Roman"/>
          <w:b/>
          <w:bCs/>
          <w:sz w:val="24"/>
          <w:szCs w:val="24"/>
          <w:lang w:val="en-US" w:eastAsia="el-GR"/>
        </w:rPr>
        <w:t>Thermal Anomalies and Risk Detection</w:t>
      </w:r>
    </w:p>
    <w:p w14:paraId="0AADE166" w14:textId="3144896D" w:rsidR="00C25E9B" w:rsidRDefault="00210848"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D17BF4" w:rsidRPr="00203B95">
        <w:rPr>
          <w:rFonts w:ascii="Times New Roman" w:eastAsia="Times New Roman" w:hAnsi="Times New Roman" w:cs="Times New Roman"/>
          <w:sz w:val="24"/>
          <w:szCs w:val="24"/>
          <w:lang w:val="en-US" w:eastAsia="el-GR"/>
        </w:rPr>
        <w:t>Thermal cameras identified numerous temperature anomalies, which were categorized into different risk levels based on the severity of the thermal signature. High-risk areas were defined as those where temperatures exceeded the threshold for potential fire ignition, especially in locations where transmission lines were in close contact with overgrown vegetation. These hotspots were primarily found in rural and forested areas, often far from urban centers, where manual monitoring would be challenging. The findings confirmed the effectiveness of thermal imaging in identifying high-risk areas that might otherwise go unnoticed until a fire outbreak.</w:t>
      </w:r>
    </w:p>
    <w:p w14:paraId="69C1D083" w14:textId="6E92A416" w:rsidR="00D17BF4" w:rsidRPr="00203B95" w:rsidRDefault="00D17BF4"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203B95">
        <w:rPr>
          <w:rFonts w:ascii="Times New Roman" w:eastAsia="Times New Roman" w:hAnsi="Times New Roman" w:cs="Times New Roman"/>
          <w:b/>
          <w:bCs/>
          <w:sz w:val="24"/>
          <w:szCs w:val="24"/>
          <w:lang w:val="en-US" w:eastAsia="el-GR"/>
        </w:rPr>
        <w:t>Risk Map and Visual Outputs</w:t>
      </w:r>
    </w:p>
    <w:p w14:paraId="4B6910F9" w14:textId="53720157" w:rsidR="00D17BF4" w:rsidRDefault="00210848" w:rsidP="00ED7252">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D17BF4" w:rsidRPr="00203B95">
        <w:rPr>
          <w:rFonts w:ascii="Times New Roman" w:eastAsia="Times New Roman" w:hAnsi="Times New Roman" w:cs="Times New Roman"/>
          <w:sz w:val="24"/>
          <w:szCs w:val="24"/>
          <w:lang w:val="en-US" w:eastAsia="el-GR"/>
        </w:rPr>
        <w:t xml:space="preserve">The final risk map, created through the combination of real-time data and predictive modeling, provided a detailed visual representation of current and potential fire risks along the power transmission network. The map clearly delineated areas of high, medium, and low risk, </w:t>
      </w:r>
      <w:r w:rsidR="00D17BF4" w:rsidRPr="00203B95">
        <w:rPr>
          <w:rFonts w:ascii="Times New Roman" w:eastAsia="Times New Roman" w:hAnsi="Times New Roman" w:cs="Times New Roman"/>
          <w:sz w:val="24"/>
          <w:szCs w:val="24"/>
          <w:lang w:val="en-US" w:eastAsia="el-GR"/>
        </w:rPr>
        <w:lastRenderedPageBreak/>
        <w:t>enabling utility companies and fire prevention authorities to prioritize their efforts accordingly. The dynamic nature of the map—updated regularly with new thermal and environmental data—ensured that it remained an accurate reflection of evolving risks. The visual outputs were shared with stakeholders, demonstrating the practical value of the system in guiding field operations and preventive actions.</w:t>
      </w:r>
    </w:p>
    <w:p w14:paraId="6E884F88" w14:textId="77777777" w:rsidR="00A4251E" w:rsidRDefault="00AA4FC1"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21226E">
        <w:rPr>
          <w:rFonts w:ascii="Times New Roman" w:eastAsia="Times New Roman" w:hAnsi="Times New Roman"/>
          <w:iCs/>
          <w:noProof/>
          <w:sz w:val="24"/>
          <w:szCs w:val="24"/>
        </w:rPr>
        <w:drawing>
          <wp:inline distT="0" distB="0" distL="0" distR="0" wp14:anchorId="0C089612" wp14:editId="4071DCAC">
            <wp:extent cx="5558352" cy="3219450"/>
            <wp:effectExtent l="0" t="0" r="444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5223" cy="3240806"/>
                    </a:xfrm>
                    <a:prstGeom prst="rect">
                      <a:avLst/>
                    </a:prstGeom>
                  </pic:spPr>
                </pic:pic>
              </a:graphicData>
            </a:graphic>
          </wp:inline>
        </w:drawing>
      </w:r>
      <w:r w:rsidR="00D17BF4" w:rsidRPr="00203B95">
        <w:rPr>
          <w:rFonts w:ascii="Times New Roman" w:eastAsia="Times New Roman" w:hAnsi="Times New Roman" w:cs="Times New Roman"/>
          <w:b/>
          <w:bCs/>
          <w:sz w:val="20"/>
          <w:szCs w:val="20"/>
          <w:lang w:val="en-US" w:eastAsia="el-GR"/>
        </w:rPr>
        <w:t xml:space="preserve">Figure 4: </w:t>
      </w:r>
      <w:r w:rsidR="00D17BF4" w:rsidRPr="00203B95">
        <w:rPr>
          <w:rFonts w:ascii="Times New Roman" w:eastAsia="Times New Roman" w:hAnsi="Times New Roman" w:cs="Times New Roman"/>
          <w:sz w:val="20"/>
          <w:szCs w:val="20"/>
          <w:lang w:val="en-US" w:eastAsia="el-GR"/>
        </w:rPr>
        <w:t>Visualization on GIS platform.</w:t>
      </w:r>
    </w:p>
    <w:p w14:paraId="440C2F5A" w14:textId="7A2B5084" w:rsidR="00ED7252" w:rsidRPr="00203B95" w:rsidRDefault="00A4251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7"/>
          <w:szCs w:val="27"/>
          <w:lang w:val="en-US" w:eastAsia="el-GR"/>
        </w:rPr>
        <w:t xml:space="preserve">             </w:t>
      </w:r>
      <w:r w:rsidR="00ED7252" w:rsidRPr="00203B95">
        <w:rPr>
          <w:rFonts w:ascii="Times New Roman" w:eastAsia="Times New Roman" w:hAnsi="Times New Roman" w:cs="Times New Roman"/>
          <w:b/>
          <w:bCs/>
          <w:sz w:val="27"/>
          <w:szCs w:val="27"/>
          <w:lang w:val="en-US" w:eastAsia="el-GR"/>
        </w:rPr>
        <w:t>CONCLUSIONS</w:t>
      </w:r>
    </w:p>
    <w:p w14:paraId="48A2D282" w14:textId="50020C17" w:rsidR="00C25E9B" w:rsidRDefault="00210848" w:rsidP="00C25E9B">
      <w:pPr>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D7252" w:rsidRPr="00203B95">
        <w:rPr>
          <w:rFonts w:ascii="Times New Roman" w:eastAsia="Times New Roman" w:hAnsi="Times New Roman" w:cs="Times New Roman"/>
          <w:sz w:val="24"/>
          <w:szCs w:val="24"/>
          <w:lang w:val="en-US" w:eastAsia="el-GR"/>
        </w:rPr>
        <w:t>In conclusion, this study provides strong evidence that the integration of thermal imaging, GPS, and GIS technologies offers an effective solution for identifying and mitigating fire risks along power transmission networks. The system's ability to provide real-time data, combined with predictive modeling, enables both immediate intervention and proactive prevention. However, further research is required to address the limitations of the current approach and improve the adaptability of the system to other regions and infrastructure systems. Future efforts could focus on enhancing the accuracy of machine learning prediction models and exploring the use of satellite data to improve spatial scalability</w:t>
      </w:r>
    </w:p>
    <w:p w14:paraId="4E5435C3" w14:textId="7F9A6EE6" w:rsidR="00ED7252" w:rsidRPr="00E030D5" w:rsidRDefault="00A4251E" w:rsidP="00C25E9B">
      <w:pPr>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7"/>
          <w:szCs w:val="27"/>
          <w:lang w:val="en-US" w:eastAsia="el-GR"/>
        </w:rPr>
        <w:t xml:space="preserve">            </w:t>
      </w:r>
      <w:r w:rsidR="00ED7252" w:rsidRPr="00E030D5">
        <w:rPr>
          <w:rFonts w:ascii="Times New Roman" w:eastAsia="Times New Roman" w:hAnsi="Times New Roman" w:cs="Times New Roman"/>
          <w:b/>
          <w:bCs/>
          <w:sz w:val="27"/>
          <w:szCs w:val="27"/>
          <w:lang w:val="en-US" w:eastAsia="el-GR"/>
        </w:rPr>
        <w:t>ACKNOWLEDGMENTS</w:t>
      </w:r>
    </w:p>
    <w:p w14:paraId="61E22A7E" w14:textId="65F0A1CB" w:rsidR="00C25E9B" w:rsidRDefault="00210848"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D7252" w:rsidRPr="00E030D5">
        <w:rPr>
          <w:rFonts w:ascii="Times New Roman" w:eastAsia="Times New Roman" w:hAnsi="Times New Roman" w:cs="Times New Roman"/>
          <w:sz w:val="24"/>
          <w:szCs w:val="24"/>
          <w:lang w:val="en-US" w:eastAsia="el-GR"/>
        </w:rPr>
        <w:t xml:space="preserve">I would like to express my heartfelt gratitude for the assistance and contributions to the completion of this project, both for the provision of equipment and for their guidance and valuable insights, to the President of the Department of Surveying Engineering and Geoinformatics at the University of West Attica (UWA), Mr. Andreas </w:t>
      </w:r>
      <w:proofErr w:type="spellStart"/>
      <w:r w:rsidR="00ED7252" w:rsidRPr="00E030D5">
        <w:rPr>
          <w:rFonts w:ascii="Times New Roman" w:eastAsia="Times New Roman" w:hAnsi="Times New Roman" w:cs="Times New Roman"/>
          <w:sz w:val="24"/>
          <w:szCs w:val="24"/>
          <w:lang w:val="en-US" w:eastAsia="el-GR"/>
        </w:rPr>
        <w:t>Tsatsaris</w:t>
      </w:r>
      <w:proofErr w:type="spellEnd"/>
      <w:r w:rsidR="00ED7252" w:rsidRPr="00E030D5">
        <w:rPr>
          <w:rFonts w:ascii="Times New Roman" w:eastAsia="Times New Roman" w:hAnsi="Times New Roman" w:cs="Times New Roman"/>
          <w:sz w:val="24"/>
          <w:szCs w:val="24"/>
          <w:lang w:val="en-US" w:eastAsia="el-GR"/>
        </w:rPr>
        <w:t xml:space="preserve">, and the postdoctoral researcher of the department, Mr. </w:t>
      </w:r>
      <w:proofErr w:type="spellStart"/>
      <w:r w:rsidR="00ED7252" w:rsidRPr="00E030D5">
        <w:rPr>
          <w:rFonts w:ascii="Times New Roman" w:eastAsia="Times New Roman" w:hAnsi="Times New Roman" w:cs="Times New Roman"/>
          <w:sz w:val="24"/>
          <w:szCs w:val="24"/>
          <w:lang w:val="en-US" w:eastAsia="el-GR"/>
        </w:rPr>
        <w:t>Kleomenis</w:t>
      </w:r>
      <w:proofErr w:type="spellEnd"/>
      <w:r w:rsidR="00ED7252" w:rsidRPr="00E030D5">
        <w:rPr>
          <w:rFonts w:ascii="Times New Roman" w:eastAsia="Times New Roman" w:hAnsi="Times New Roman" w:cs="Times New Roman"/>
          <w:sz w:val="24"/>
          <w:szCs w:val="24"/>
          <w:lang w:val="en-US" w:eastAsia="el-GR"/>
        </w:rPr>
        <w:t xml:space="preserve"> Kalogeropoulos.</w:t>
      </w:r>
    </w:p>
    <w:p w14:paraId="1BB8D13F" w14:textId="6A9DD7C7" w:rsidR="00E3047F" w:rsidRPr="00D4529B" w:rsidRDefault="00A4251E" w:rsidP="00C25E9B">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b/>
          <w:bCs/>
          <w:sz w:val="27"/>
          <w:szCs w:val="27"/>
          <w:lang w:val="en-US" w:eastAsia="el-GR"/>
        </w:rPr>
        <w:t xml:space="preserve">            </w:t>
      </w:r>
      <w:r w:rsidR="00E3047F" w:rsidRPr="00D4529B">
        <w:rPr>
          <w:rFonts w:ascii="Times New Roman" w:eastAsia="Times New Roman" w:hAnsi="Times New Roman" w:cs="Times New Roman"/>
          <w:b/>
          <w:bCs/>
          <w:sz w:val="27"/>
          <w:szCs w:val="27"/>
          <w:lang w:val="en-US" w:eastAsia="el-GR"/>
        </w:rPr>
        <w:t>REFERENCES</w:t>
      </w:r>
    </w:p>
    <w:p w14:paraId="1C402EF6" w14:textId="2A96F807" w:rsidR="00E3047F" w:rsidRPr="00D4529B" w:rsidRDefault="00145E6A"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Allison, R., Johnston, J., &amp; Craig, G. (2016). Airborne optical and thermal remote sensing for wildfire detection and monitoring. </w:t>
      </w:r>
      <w:r w:rsidR="00E3047F" w:rsidRPr="00D4529B">
        <w:rPr>
          <w:rFonts w:ascii="Times New Roman" w:eastAsia="Times New Roman" w:hAnsi="Times New Roman" w:cs="Times New Roman"/>
          <w:i/>
          <w:iCs/>
          <w:sz w:val="24"/>
          <w:szCs w:val="24"/>
          <w:lang w:val="en-US" w:eastAsia="el-GR"/>
        </w:rPr>
        <w:t>Sensors, 16</w:t>
      </w:r>
      <w:r w:rsidR="00E3047F" w:rsidRPr="00D4529B">
        <w:rPr>
          <w:rFonts w:ascii="Times New Roman" w:eastAsia="Times New Roman" w:hAnsi="Times New Roman" w:cs="Times New Roman"/>
          <w:sz w:val="24"/>
          <w:szCs w:val="24"/>
          <w:lang w:val="en-US" w:eastAsia="el-GR"/>
        </w:rPr>
        <w:t>(8), 1310.</w:t>
      </w:r>
    </w:p>
    <w:p w14:paraId="65565B5F" w14:textId="6FA0C4AB" w:rsidR="00E3047F" w:rsidRPr="00D4529B" w:rsidRDefault="00145E6A"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lastRenderedPageBreak/>
        <w:t xml:space="preserve">     </w:t>
      </w:r>
      <w:r w:rsidR="00E3047F" w:rsidRPr="00D4529B">
        <w:rPr>
          <w:rFonts w:ascii="Times New Roman" w:eastAsia="Times New Roman" w:hAnsi="Times New Roman" w:cs="Times New Roman"/>
          <w:sz w:val="24"/>
          <w:szCs w:val="24"/>
          <w:lang w:val="en-US" w:eastAsia="el-GR"/>
        </w:rPr>
        <w:t xml:space="preserve">Bongiovanni, R., Macchi, L., &amp; Pellegrini, S. (2020). UAV-based monitoring of power lines for fire prevention in remote areas. </w:t>
      </w:r>
      <w:r w:rsidR="00E3047F" w:rsidRPr="00D4529B">
        <w:rPr>
          <w:rFonts w:ascii="Times New Roman" w:eastAsia="Times New Roman" w:hAnsi="Times New Roman" w:cs="Times New Roman"/>
          <w:i/>
          <w:iCs/>
          <w:sz w:val="24"/>
          <w:szCs w:val="24"/>
          <w:lang w:val="en-US" w:eastAsia="el-GR"/>
        </w:rPr>
        <w:t>Journal of Applied Remote Sensing, 14</w:t>
      </w:r>
      <w:r w:rsidR="00E3047F" w:rsidRPr="00D4529B">
        <w:rPr>
          <w:rFonts w:ascii="Times New Roman" w:eastAsia="Times New Roman" w:hAnsi="Times New Roman" w:cs="Times New Roman"/>
          <w:sz w:val="24"/>
          <w:szCs w:val="24"/>
          <w:lang w:val="en-US" w:eastAsia="el-GR"/>
        </w:rPr>
        <w:t xml:space="preserve">(4), 045501. </w:t>
      </w:r>
      <w:hyperlink r:id="rId11" w:history="1">
        <w:r w:rsidR="00E3047F" w:rsidRPr="00D4529B">
          <w:rPr>
            <w:rFonts w:ascii="Times New Roman" w:eastAsia="Times New Roman" w:hAnsi="Times New Roman" w:cs="Times New Roman"/>
            <w:sz w:val="24"/>
            <w:szCs w:val="24"/>
            <w:lang w:val="en-US" w:eastAsia="el-GR"/>
          </w:rPr>
          <w:t>https://doi.org/10.1117/1.JRS.14.045501</w:t>
        </w:r>
      </w:hyperlink>
    </w:p>
    <w:p w14:paraId="3CFC3AB5" w14:textId="230315A1" w:rsidR="00E3047F" w:rsidRPr="00D4529B" w:rsidRDefault="00145E6A"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Chen, J., &amp; Zhu, X. (2022). Wildland fire detection and monitoring using a drone-collected dataset with RGB and thermal images. </w:t>
      </w:r>
      <w:r w:rsidR="00E3047F" w:rsidRPr="00D4529B">
        <w:rPr>
          <w:rFonts w:ascii="Times New Roman" w:eastAsia="Times New Roman" w:hAnsi="Times New Roman" w:cs="Times New Roman"/>
          <w:i/>
          <w:iCs/>
          <w:sz w:val="24"/>
          <w:szCs w:val="24"/>
          <w:lang w:val="en-US" w:eastAsia="el-GR"/>
        </w:rPr>
        <w:t>USDA Forest Service Research Paper.</w:t>
      </w:r>
    </w:p>
    <w:p w14:paraId="3364FA83" w14:textId="29D74B01" w:rsidR="00E3047F" w:rsidRPr="00D4529B" w:rsidRDefault="00145E6A"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proofErr w:type="spellStart"/>
      <w:r w:rsidR="00E3047F" w:rsidRPr="00D4529B">
        <w:rPr>
          <w:rFonts w:ascii="Times New Roman" w:eastAsia="Times New Roman" w:hAnsi="Times New Roman" w:cs="Times New Roman"/>
          <w:sz w:val="24"/>
          <w:szCs w:val="24"/>
          <w:lang w:val="en-US" w:eastAsia="el-GR"/>
        </w:rPr>
        <w:t>Demkiv</w:t>
      </w:r>
      <w:proofErr w:type="spellEnd"/>
      <w:r w:rsidR="00E3047F" w:rsidRPr="00D4529B">
        <w:rPr>
          <w:rFonts w:ascii="Times New Roman" w:eastAsia="Times New Roman" w:hAnsi="Times New Roman" w:cs="Times New Roman"/>
          <w:sz w:val="24"/>
          <w:szCs w:val="24"/>
          <w:lang w:val="en-US" w:eastAsia="el-GR"/>
        </w:rPr>
        <w:t xml:space="preserve">, L., Ruffo, M., Silano, G., Bednar, J., &amp; Saska, M. (2023). An application of stereo thermal vision for preliminary inspection of electrical power lines by MAVs. </w:t>
      </w:r>
      <w:proofErr w:type="spellStart"/>
      <w:r w:rsidR="00E3047F" w:rsidRPr="00D4529B">
        <w:rPr>
          <w:rFonts w:ascii="Times New Roman" w:eastAsia="Times New Roman" w:hAnsi="Times New Roman" w:cs="Times New Roman"/>
          <w:i/>
          <w:iCs/>
          <w:sz w:val="24"/>
          <w:szCs w:val="24"/>
          <w:lang w:val="en-US" w:eastAsia="el-GR"/>
        </w:rPr>
        <w:t>arXiv</w:t>
      </w:r>
      <w:proofErr w:type="spellEnd"/>
      <w:r w:rsidR="00E3047F" w:rsidRPr="00D4529B">
        <w:rPr>
          <w:rFonts w:ascii="Times New Roman" w:eastAsia="Times New Roman" w:hAnsi="Times New Roman" w:cs="Times New Roman"/>
          <w:i/>
          <w:iCs/>
          <w:sz w:val="24"/>
          <w:szCs w:val="24"/>
          <w:lang w:val="en-US" w:eastAsia="el-GR"/>
        </w:rPr>
        <w:t xml:space="preserve"> preprint arXiv:2302.04705.</w:t>
      </w:r>
    </w:p>
    <w:p w14:paraId="43EB3561" w14:textId="0131C33B" w:rsidR="00E3047F" w:rsidRPr="00D4529B" w:rsidRDefault="00AF1B58"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López, J. J., Fernández, J. R., &amp; Vázquez, R. (2020). Real-time fire detection and monitoring using UAVs and thermal infrared cameras: A case study in Spain. </w:t>
      </w:r>
      <w:r w:rsidR="00E3047F" w:rsidRPr="00D4529B">
        <w:rPr>
          <w:rFonts w:ascii="Times New Roman" w:eastAsia="Times New Roman" w:hAnsi="Times New Roman" w:cs="Times New Roman"/>
          <w:i/>
          <w:iCs/>
          <w:sz w:val="24"/>
          <w:szCs w:val="24"/>
          <w:lang w:val="en-US" w:eastAsia="el-GR"/>
        </w:rPr>
        <w:t>Fire Safety Journal, 113</w:t>
      </w:r>
      <w:r w:rsidR="00E3047F" w:rsidRPr="00D4529B">
        <w:rPr>
          <w:rFonts w:ascii="Times New Roman" w:eastAsia="Times New Roman" w:hAnsi="Times New Roman" w:cs="Times New Roman"/>
          <w:sz w:val="24"/>
          <w:szCs w:val="24"/>
          <w:lang w:val="en-US" w:eastAsia="el-GR"/>
        </w:rPr>
        <w:t xml:space="preserve">, 102992. </w:t>
      </w:r>
      <w:hyperlink r:id="rId12" w:history="1">
        <w:r w:rsidR="00E3047F" w:rsidRPr="00D4529B">
          <w:rPr>
            <w:rFonts w:ascii="Times New Roman" w:eastAsia="Times New Roman" w:hAnsi="Times New Roman" w:cs="Times New Roman"/>
            <w:sz w:val="24"/>
            <w:szCs w:val="24"/>
            <w:lang w:val="en-US" w:eastAsia="el-GR"/>
          </w:rPr>
          <w:t>https://doi.org/10.1016/j.firesaf.2020.102992</w:t>
        </w:r>
      </w:hyperlink>
    </w:p>
    <w:p w14:paraId="316B9026" w14:textId="7819E86C" w:rsidR="00E3047F" w:rsidRPr="00D4529B" w:rsidRDefault="00AF1B58"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Martin, A., Mertens, P., &amp; Schmidt, C. (2019). Thermal infrared imagery from UAVs to detect power line faults in forested areas. </w:t>
      </w:r>
      <w:r w:rsidR="00E3047F" w:rsidRPr="00D4529B">
        <w:rPr>
          <w:rFonts w:ascii="Times New Roman" w:eastAsia="Times New Roman" w:hAnsi="Times New Roman" w:cs="Times New Roman"/>
          <w:i/>
          <w:iCs/>
          <w:sz w:val="24"/>
          <w:szCs w:val="24"/>
          <w:lang w:val="en-US" w:eastAsia="el-GR"/>
        </w:rPr>
        <w:t>International Journal of Remote Sensing, 40</w:t>
      </w:r>
      <w:r w:rsidR="00E3047F" w:rsidRPr="00D4529B">
        <w:rPr>
          <w:rFonts w:ascii="Times New Roman" w:eastAsia="Times New Roman" w:hAnsi="Times New Roman" w:cs="Times New Roman"/>
          <w:sz w:val="24"/>
          <w:szCs w:val="24"/>
          <w:lang w:val="en-US" w:eastAsia="el-GR"/>
        </w:rPr>
        <w:t xml:space="preserve">(15), 5901-5918. </w:t>
      </w:r>
      <w:hyperlink r:id="rId13" w:history="1">
        <w:r w:rsidR="00E3047F" w:rsidRPr="00D4529B">
          <w:rPr>
            <w:rFonts w:ascii="Times New Roman" w:eastAsia="Times New Roman" w:hAnsi="Times New Roman" w:cs="Times New Roman"/>
            <w:sz w:val="24"/>
            <w:szCs w:val="24"/>
            <w:lang w:val="en-US" w:eastAsia="el-GR"/>
          </w:rPr>
          <w:t>https://doi.org/10.1080/01431161.2019.1623012</w:t>
        </w:r>
      </w:hyperlink>
    </w:p>
    <w:p w14:paraId="0685C758" w14:textId="3CCB4588" w:rsidR="00E3047F" w:rsidRPr="00D4529B" w:rsidRDefault="00AF1B58"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Rossi, D., Barone, F., &amp; </w:t>
      </w:r>
      <w:proofErr w:type="spellStart"/>
      <w:r w:rsidR="00E3047F" w:rsidRPr="00D4529B">
        <w:rPr>
          <w:rFonts w:ascii="Times New Roman" w:eastAsia="Times New Roman" w:hAnsi="Times New Roman" w:cs="Times New Roman"/>
          <w:sz w:val="24"/>
          <w:szCs w:val="24"/>
          <w:lang w:val="en-US" w:eastAsia="el-GR"/>
        </w:rPr>
        <w:t>Zizioli</w:t>
      </w:r>
      <w:proofErr w:type="spellEnd"/>
      <w:r w:rsidR="00E3047F" w:rsidRPr="00D4529B">
        <w:rPr>
          <w:rFonts w:ascii="Times New Roman" w:eastAsia="Times New Roman" w:hAnsi="Times New Roman" w:cs="Times New Roman"/>
          <w:sz w:val="24"/>
          <w:szCs w:val="24"/>
          <w:lang w:val="en-US" w:eastAsia="el-GR"/>
        </w:rPr>
        <w:t xml:space="preserve">, A. (2021). Power line inspection using drones and thermal cameras: A case study in the Italian Alps. </w:t>
      </w:r>
      <w:r w:rsidR="00E3047F" w:rsidRPr="00D4529B">
        <w:rPr>
          <w:rFonts w:ascii="Times New Roman" w:eastAsia="Times New Roman" w:hAnsi="Times New Roman" w:cs="Times New Roman"/>
          <w:i/>
          <w:iCs/>
          <w:sz w:val="24"/>
          <w:szCs w:val="24"/>
          <w:lang w:val="en-US" w:eastAsia="el-GR"/>
        </w:rPr>
        <w:t>Journal of Unmanned Vehicle Systems, 9</w:t>
      </w:r>
      <w:r w:rsidR="00E3047F" w:rsidRPr="00D4529B">
        <w:rPr>
          <w:rFonts w:ascii="Times New Roman" w:eastAsia="Times New Roman" w:hAnsi="Times New Roman" w:cs="Times New Roman"/>
          <w:sz w:val="24"/>
          <w:szCs w:val="24"/>
          <w:lang w:val="en-US" w:eastAsia="el-GR"/>
        </w:rPr>
        <w:t xml:space="preserve">(3), 249-261. </w:t>
      </w:r>
      <w:hyperlink r:id="rId14" w:history="1">
        <w:r w:rsidR="00E3047F" w:rsidRPr="00D4529B">
          <w:rPr>
            <w:rFonts w:ascii="Times New Roman" w:eastAsia="Times New Roman" w:hAnsi="Times New Roman" w:cs="Times New Roman"/>
            <w:sz w:val="24"/>
            <w:szCs w:val="24"/>
            <w:lang w:val="en-US" w:eastAsia="el-GR"/>
          </w:rPr>
          <w:t>https://doi.org/10.1139/juvs-2020-0033</w:t>
        </w:r>
      </w:hyperlink>
    </w:p>
    <w:p w14:paraId="553D1DA9" w14:textId="7898AB32" w:rsidR="00E3047F" w:rsidRPr="00D4529B" w:rsidRDefault="00AF1B58"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proofErr w:type="spellStart"/>
      <w:r w:rsidR="00E3047F" w:rsidRPr="00D4529B">
        <w:rPr>
          <w:rFonts w:ascii="Times New Roman" w:eastAsia="Times New Roman" w:hAnsi="Times New Roman" w:cs="Times New Roman"/>
          <w:sz w:val="24"/>
          <w:szCs w:val="24"/>
          <w:lang w:val="en-US" w:eastAsia="el-GR"/>
        </w:rPr>
        <w:t>Shamsoshoara</w:t>
      </w:r>
      <w:proofErr w:type="spellEnd"/>
      <w:r w:rsidR="00E3047F" w:rsidRPr="00D4529B">
        <w:rPr>
          <w:rFonts w:ascii="Times New Roman" w:eastAsia="Times New Roman" w:hAnsi="Times New Roman" w:cs="Times New Roman"/>
          <w:sz w:val="24"/>
          <w:szCs w:val="24"/>
          <w:lang w:val="en-US" w:eastAsia="el-GR"/>
        </w:rPr>
        <w:t xml:space="preserve">, A., </w:t>
      </w:r>
      <w:proofErr w:type="spellStart"/>
      <w:r w:rsidR="00E3047F" w:rsidRPr="00D4529B">
        <w:rPr>
          <w:rFonts w:ascii="Times New Roman" w:eastAsia="Times New Roman" w:hAnsi="Times New Roman" w:cs="Times New Roman"/>
          <w:sz w:val="24"/>
          <w:szCs w:val="24"/>
          <w:lang w:val="en-US" w:eastAsia="el-GR"/>
        </w:rPr>
        <w:t>Afghah</w:t>
      </w:r>
      <w:proofErr w:type="spellEnd"/>
      <w:r w:rsidR="00E3047F" w:rsidRPr="00D4529B">
        <w:rPr>
          <w:rFonts w:ascii="Times New Roman" w:eastAsia="Times New Roman" w:hAnsi="Times New Roman" w:cs="Times New Roman"/>
          <w:sz w:val="24"/>
          <w:szCs w:val="24"/>
          <w:lang w:val="en-US" w:eastAsia="el-GR"/>
        </w:rPr>
        <w:t xml:space="preserve">, F., Razi, A., Zheng, L., </w:t>
      </w:r>
      <w:proofErr w:type="spellStart"/>
      <w:r w:rsidR="00E3047F" w:rsidRPr="00D4529B">
        <w:rPr>
          <w:rFonts w:ascii="Times New Roman" w:eastAsia="Times New Roman" w:hAnsi="Times New Roman" w:cs="Times New Roman"/>
          <w:sz w:val="24"/>
          <w:szCs w:val="24"/>
          <w:lang w:val="en-US" w:eastAsia="el-GR"/>
        </w:rPr>
        <w:t>Fulé</w:t>
      </w:r>
      <w:proofErr w:type="spellEnd"/>
      <w:r w:rsidR="00E3047F" w:rsidRPr="00D4529B">
        <w:rPr>
          <w:rFonts w:ascii="Times New Roman" w:eastAsia="Times New Roman" w:hAnsi="Times New Roman" w:cs="Times New Roman"/>
          <w:sz w:val="24"/>
          <w:szCs w:val="24"/>
          <w:lang w:val="en-US" w:eastAsia="el-GR"/>
        </w:rPr>
        <w:t xml:space="preserve">, P. Z., &amp; Blasch, E. (2020). Aerial imagery pile burn detection using deep learning: The FLAME dataset. </w:t>
      </w:r>
      <w:proofErr w:type="spellStart"/>
      <w:r w:rsidR="00E3047F" w:rsidRPr="00D4529B">
        <w:rPr>
          <w:rFonts w:ascii="Times New Roman" w:eastAsia="Times New Roman" w:hAnsi="Times New Roman" w:cs="Times New Roman"/>
          <w:i/>
          <w:iCs/>
          <w:sz w:val="24"/>
          <w:szCs w:val="24"/>
          <w:lang w:val="en-US" w:eastAsia="el-GR"/>
        </w:rPr>
        <w:t>arXiv</w:t>
      </w:r>
      <w:proofErr w:type="spellEnd"/>
      <w:r w:rsidR="00E3047F" w:rsidRPr="00D4529B">
        <w:rPr>
          <w:rFonts w:ascii="Times New Roman" w:eastAsia="Times New Roman" w:hAnsi="Times New Roman" w:cs="Times New Roman"/>
          <w:i/>
          <w:iCs/>
          <w:sz w:val="24"/>
          <w:szCs w:val="24"/>
          <w:lang w:val="en-US" w:eastAsia="el-GR"/>
        </w:rPr>
        <w:t xml:space="preserve"> preprint.</w:t>
      </w:r>
    </w:p>
    <w:p w14:paraId="24A7BA0F" w14:textId="32483AEC" w:rsidR="00E3047F" w:rsidRPr="00D4529B" w:rsidRDefault="00AF1B58" w:rsidP="001C7B9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Silano, G., &amp; Saska, M. (2023). UAV visual and thermographic power line detection using deep learning. </w:t>
      </w:r>
      <w:r w:rsidR="00E3047F" w:rsidRPr="00D4529B">
        <w:rPr>
          <w:rFonts w:ascii="Times New Roman" w:eastAsia="Times New Roman" w:hAnsi="Times New Roman" w:cs="Times New Roman"/>
          <w:i/>
          <w:iCs/>
          <w:sz w:val="24"/>
          <w:szCs w:val="24"/>
          <w:lang w:val="en-US" w:eastAsia="el-GR"/>
        </w:rPr>
        <w:t>Sensors, 23</w:t>
      </w:r>
      <w:r w:rsidR="00E3047F" w:rsidRPr="00D4529B">
        <w:rPr>
          <w:rFonts w:ascii="Times New Roman" w:eastAsia="Times New Roman" w:hAnsi="Times New Roman" w:cs="Times New Roman"/>
          <w:sz w:val="24"/>
          <w:szCs w:val="24"/>
          <w:lang w:val="en-US" w:eastAsia="el-GR"/>
        </w:rPr>
        <w:t>(3), 1234.</w:t>
      </w:r>
    </w:p>
    <w:p w14:paraId="519986DF" w14:textId="58421DC6" w:rsidR="00E3047F" w:rsidRPr="00D4529B" w:rsidRDefault="00AF1B58" w:rsidP="001C7B9A">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val="en-US" w:eastAsia="el-GR"/>
        </w:rPr>
        <w:t xml:space="preserve">     </w:t>
      </w:r>
      <w:r w:rsidR="00E3047F" w:rsidRPr="00D4529B">
        <w:rPr>
          <w:rFonts w:ascii="Times New Roman" w:eastAsia="Times New Roman" w:hAnsi="Times New Roman" w:cs="Times New Roman"/>
          <w:sz w:val="24"/>
          <w:szCs w:val="24"/>
          <w:lang w:val="en-US" w:eastAsia="el-GR"/>
        </w:rPr>
        <w:t xml:space="preserve">Zhao, Y., &amp; Song, Y. (2021). A GIS-based framework for wildfire risk management using UAV thermal imagery and spatial analysis. </w:t>
      </w:r>
      <w:proofErr w:type="spellStart"/>
      <w:r w:rsidR="00E3047F" w:rsidRPr="00D4529B">
        <w:rPr>
          <w:rFonts w:ascii="Times New Roman" w:eastAsia="Times New Roman" w:hAnsi="Times New Roman" w:cs="Times New Roman"/>
          <w:i/>
          <w:iCs/>
          <w:sz w:val="24"/>
          <w:szCs w:val="24"/>
          <w:lang w:eastAsia="el-GR"/>
        </w:rPr>
        <w:t>Remote</w:t>
      </w:r>
      <w:proofErr w:type="spellEnd"/>
      <w:r w:rsidR="00E3047F" w:rsidRPr="00D4529B">
        <w:rPr>
          <w:rFonts w:ascii="Times New Roman" w:eastAsia="Times New Roman" w:hAnsi="Times New Roman" w:cs="Times New Roman"/>
          <w:i/>
          <w:iCs/>
          <w:sz w:val="24"/>
          <w:szCs w:val="24"/>
          <w:lang w:eastAsia="el-GR"/>
        </w:rPr>
        <w:t xml:space="preserve"> </w:t>
      </w:r>
      <w:proofErr w:type="spellStart"/>
      <w:r w:rsidR="00E3047F" w:rsidRPr="00D4529B">
        <w:rPr>
          <w:rFonts w:ascii="Times New Roman" w:eastAsia="Times New Roman" w:hAnsi="Times New Roman" w:cs="Times New Roman"/>
          <w:i/>
          <w:iCs/>
          <w:sz w:val="24"/>
          <w:szCs w:val="24"/>
          <w:lang w:eastAsia="el-GR"/>
        </w:rPr>
        <w:t>Sensing</w:t>
      </w:r>
      <w:proofErr w:type="spellEnd"/>
      <w:r w:rsidR="00E3047F" w:rsidRPr="00D4529B">
        <w:rPr>
          <w:rFonts w:ascii="Times New Roman" w:eastAsia="Times New Roman" w:hAnsi="Times New Roman" w:cs="Times New Roman"/>
          <w:i/>
          <w:iCs/>
          <w:sz w:val="24"/>
          <w:szCs w:val="24"/>
          <w:lang w:eastAsia="el-GR"/>
        </w:rPr>
        <w:t>, 13</w:t>
      </w:r>
      <w:r w:rsidR="00E3047F" w:rsidRPr="00D4529B">
        <w:rPr>
          <w:rFonts w:ascii="Times New Roman" w:eastAsia="Times New Roman" w:hAnsi="Times New Roman" w:cs="Times New Roman"/>
          <w:sz w:val="24"/>
          <w:szCs w:val="24"/>
          <w:lang w:eastAsia="el-GR"/>
        </w:rPr>
        <w:t xml:space="preserve">(15), 2962. </w:t>
      </w:r>
      <w:hyperlink r:id="rId15" w:history="1">
        <w:r w:rsidR="00E3047F" w:rsidRPr="00D4529B">
          <w:rPr>
            <w:rFonts w:ascii="Times New Roman" w:eastAsia="Times New Roman" w:hAnsi="Times New Roman" w:cs="Times New Roman"/>
            <w:sz w:val="24"/>
            <w:szCs w:val="24"/>
            <w:lang w:eastAsia="el-GR"/>
          </w:rPr>
          <w:t>https://doi.org/10.3390/rs13152962</w:t>
        </w:r>
      </w:hyperlink>
    </w:p>
    <w:p w14:paraId="214FF180" w14:textId="12F085D5" w:rsidR="00C927A8" w:rsidRPr="00C927A8" w:rsidRDefault="00C927A8" w:rsidP="001C7B9A">
      <w:pPr>
        <w:tabs>
          <w:tab w:val="left" w:pos="1515"/>
        </w:tabs>
        <w:rPr>
          <w:lang w:val="en-US"/>
        </w:rPr>
      </w:pPr>
      <w:r>
        <w:rPr>
          <w:lang w:val="en-US"/>
        </w:rPr>
        <w:tab/>
      </w:r>
    </w:p>
    <w:sectPr w:rsidR="00C927A8" w:rsidRPr="00C927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36"/>
    <w:rsid w:val="00067A43"/>
    <w:rsid w:val="00145E6A"/>
    <w:rsid w:val="001C7B9A"/>
    <w:rsid w:val="00210848"/>
    <w:rsid w:val="004A2B74"/>
    <w:rsid w:val="00611525"/>
    <w:rsid w:val="00657936"/>
    <w:rsid w:val="006D5DAD"/>
    <w:rsid w:val="008418AF"/>
    <w:rsid w:val="008B0526"/>
    <w:rsid w:val="008B7CE1"/>
    <w:rsid w:val="00A4251E"/>
    <w:rsid w:val="00AA4FC1"/>
    <w:rsid w:val="00AF1B58"/>
    <w:rsid w:val="00BD15D8"/>
    <w:rsid w:val="00C25E9B"/>
    <w:rsid w:val="00C927A8"/>
    <w:rsid w:val="00D17BF4"/>
    <w:rsid w:val="00D57965"/>
    <w:rsid w:val="00D6063F"/>
    <w:rsid w:val="00E255B5"/>
    <w:rsid w:val="00E3047F"/>
    <w:rsid w:val="00ED7252"/>
    <w:rsid w:val="00F845FD"/>
    <w:rsid w:val="00FD21E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D5E3A"/>
  <w15:chartTrackingRefBased/>
  <w15:docId w15:val="{00E232E3-2C75-4731-9ACB-2E448F1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79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80/01431161.2019.162301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firesaf.2020.10299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hyslab@hotmail.gr" TargetMode="External"/><Relationship Id="rId11" Type="http://schemas.openxmlformats.org/officeDocument/2006/relationships/hyperlink" Target="https://doi.org/10.1117/1.JRS.14.045501" TargetMode="External"/><Relationship Id="rId5" Type="http://schemas.openxmlformats.org/officeDocument/2006/relationships/hyperlink" Target="mailto:maximosapostolidis@gmail.com" TargetMode="External"/><Relationship Id="rId15" Type="http://schemas.openxmlformats.org/officeDocument/2006/relationships/hyperlink" Target="https://doi.org/10.3390/rs13152962"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39/juvs-2020-003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BEC0-0B2B-4226-AFD2-A14219D5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2117</Words>
  <Characters>11435</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cth win</cp:lastModifiedBy>
  <cp:revision>2</cp:revision>
  <dcterms:created xsi:type="dcterms:W3CDTF">2025-08-10T09:00:00Z</dcterms:created>
  <dcterms:modified xsi:type="dcterms:W3CDTF">2025-08-10T09:00:00Z</dcterms:modified>
</cp:coreProperties>
</file>