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F2" w:rsidRDefault="009615FF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1645920</wp:posOffset>
            </wp:positionH>
            <wp:positionV relativeFrom="page">
              <wp:posOffset>914400</wp:posOffset>
            </wp:positionV>
            <wp:extent cx="4258310" cy="1228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5F2" w:rsidRDefault="002F55F2">
      <w:pPr>
        <w:spacing w:line="200" w:lineRule="exact"/>
        <w:rPr>
          <w:sz w:val="24"/>
          <w:szCs w:val="24"/>
        </w:rPr>
      </w:pPr>
    </w:p>
    <w:p w:rsidR="002F55F2" w:rsidRDefault="002F55F2">
      <w:pPr>
        <w:spacing w:line="200" w:lineRule="exact"/>
        <w:rPr>
          <w:sz w:val="24"/>
          <w:szCs w:val="24"/>
        </w:rPr>
      </w:pPr>
    </w:p>
    <w:p w:rsidR="002F55F2" w:rsidRDefault="002F55F2">
      <w:pPr>
        <w:spacing w:line="200" w:lineRule="exact"/>
        <w:rPr>
          <w:sz w:val="24"/>
          <w:szCs w:val="24"/>
        </w:rPr>
      </w:pPr>
    </w:p>
    <w:p w:rsidR="002F55F2" w:rsidRDefault="002F55F2">
      <w:pPr>
        <w:spacing w:line="200" w:lineRule="exact"/>
        <w:rPr>
          <w:sz w:val="24"/>
          <w:szCs w:val="24"/>
        </w:rPr>
      </w:pPr>
    </w:p>
    <w:p w:rsidR="002F55F2" w:rsidRDefault="002F55F2">
      <w:pPr>
        <w:spacing w:line="200" w:lineRule="exact"/>
        <w:rPr>
          <w:sz w:val="24"/>
          <w:szCs w:val="24"/>
        </w:rPr>
      </w:pPr>
    </w:p>
    <w:p w:rsidR="002F55F2" w:rsidRDefault="002F55F2">
      <w:pPr>
        <w:spacing w:line="200" w:lineRule="exact"/>
        <w:rPr>
          <w:sz w:val="24"/>
          <w:szCs w:val="24"/>
        </w:rPr>
      </w:pPr>
    </w:p>
    <w:p w:rsidR="002F55F2" w:rsidRDefault="002F55F2">
      <w:pPr>
        <w:spacing w:line="200" w:lineRule="exact"/>
        <w:rPr>
          <w:sz w:val="24"/>
          <w:szCs w:val="24"/>
        </w:rPr>
      </w:pPr>
    </w:p>
    <w:p w:rsidR="002F55F2" w:rsidRDefault="002F55F2">
      <w:pPr>
        <w:spacing w:line="200" w:lineRule="exact"/>
        <w:rPr>
          <w:sz w:val="24"/>
          <w:szCs w:val="24"/>
        </w:rPr>
      </w:pPr>
    </w:p>
    <w:p w:rsidR="002F55F2" w:rsidRDefault="002F55F2">
      <w:pPr>
        <w:spacing w:line="200" w:lineRule="exact"/>
        <w:rPr>
          <w:sz w:val="24"/>
          <w:szCs w:val="24"/>
        </w:rPr>
      </w:pPr>
    </w:p>
    <w:p w:rsidR="002F55F2" w:rsidRDefault="002F55F2">
      <w:pPr>
        <w:spacing w:line="287" w:lineRule="exact"/>
        <w:rPr>
          <w:sz w:val="24"/>
          <w:szCs w:val="24"/>
        </w:rPr>
      </w:pPr>
    </w:p>
    <w:p w:rsidR="002F55F2" w:rsidRPr="009615FF" w:rsidRDefault="009615FF">
      <w:pPr>
        <w:ind w:right="6"/>
        <w:jc w:val="center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8"/>
          <w:szCs w:val="28"/>
          <w:lang w:val="en-US"/>
        </w:rPr>
        <w:t>AWPEL</w:t>
      </w:r>
    </w:p>
    <w:p w:rsidR="002F55F2" w:rsidRPr="009615FF" w:rsidRDefault="009615FF">
      <w:pPr>
        <w:ind w:right="6"/>
        <w:jc w:val="center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8"/>
          <w:szCs w:val="28"/>
          <w:lang w:val="en-US"/>
        </w:rPr>
        <w:t>Stylesheet - Instructions for contributors</w:t>
      </w:r>
    </w:p>
    <w:p w:rsidR="002F55F2" w:rsidRPr="009615FF" w:rsidRDefault="002F55F2">
      <w:pPr>
        <w:spacing w:line="294" w:lineRule="exact"/>
        <w:rPr>
          <w:sz w:val="24"/>
          <w:szCs w:val="24"/>
          <w:lang w:val="en-US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>FORMAT</w:t>
      </w: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Font: Calibri</w:t>
      </w: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Font size: 12 for the main body and 10 for footnotes</w:t>
      </w: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Spacing: single space everywhere</w:t>
      </w: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Page settings: normal</w:t>
      </w: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Justification: left and right</w:t>
      </w:r>
    </w:p>
    <w:p w:rsidR="002F55F2" w:rsidRPr="009615FF" w:rsidRDefault="002F55F2">
      <w:pPr>
        <w:spacing w:line="292" w:lineRule="exact"/>
        <w:rPr>
          <w:sz w:val="24"/>
          <w:szCs w:val="24"/>
          <w:lang w:val="en-US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>TITLE PAGE - centered</w:t>
      </w:r>
    </w:p>
    <w:p w:rsidR="002F55F2" w:rsidRPr="009615FF" w:rsidRDefault="002F55F2">
      <w:pPr>
        <w:spacing w:line="293" w:lineRule="exact"/>
        <w:rPr>
          <w:sz w:val="24"/>
          <w:szCs w:val="24"/>
          <w:lang w:val="en-US"/>
        </w:rPr>
      </w:pPr>
    </w:p>
    <w:p w:rsidR="002F55F2" w:rsidRPr="009615FF" w:rsidRDefault="009615FF">
      <w:pPr>
        <w:ind w:right="6"/>
        <w:jc w:val="center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Title: </w:t>
      </w: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>Calibri 12 bold</w:t>
      </w:r>
    </w:p>
    <w:p w:rsidR="002F55F2" w:rsidRPr="009615FF" w:rsidRDefault="002F55F2">
      <w:pPr>
        <w:spacing w:line="2" w:lineRule="exact"/>
        <w:rPr>
          <w:sz w:val="24"/>
          <w:szCs w:val="24"/>
          <w:lang w:val="en-US"/>
        </w:rPr>
      </w:pPr>
    </w:p>
    <w:p w:rsidR="002F55F2" w:rsidRPr="009615FF" w:rsidRDefault="009615FF">
      <w:pPr>
        <w:ind w:right="6"/>
        <w:jc w:val="center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1 line</w:t>
      </w:r>
    </w:p>
    <w:p w:rsidR="002F55F2" w:rsidRPr="009615FF" w:rsidRDefault="009615FF">
      <w:pPr>
        <w:ind w:right="-13"/>
        <w:jc w:val="center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Name: Calibri 12 normal</w:t>
      </w:r>
    </w:p>
    <w:p w:rsidR="002F55F2" w:rsidRPr="009615FF" w:rsidRDefault="009615FF">
      <w:pPr>
        <w:ind w:right="6"/>
        <w:jc w:val="center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1 line</w:t>
      </w:r>
    </w:p>
    <w:p w:rsidR="002F55F2" w:rsidRPr="009615FF" w:rsidRDefault="009615FF">
      <w:pPr>
        <w:ind w:right="6"/>
        <w:jc w:val="center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Affiliation: </w:t>
      </w:r>
      <w:r w:rsidRPr="009615FF">
        <w:rPr>
          <w:rFonts w:ascii="Calibri" w:eastAsia="Calibri" w:hAnsi="Calibri" w:cs="Calibri"/>
          <w:i/>
          <w:iCs/>
          <w:sz w:val="24"/>
          <w:szCs w:val="24"/>
          <w:lang w:val="en-US"/>
        </w:rPr>
        <w:t>Calibri 12 italicized</w:t>
      </w:r>
    </w:p>
    <w:p w:rsidR="002F55F2" w:rsidRPr="009615FF" w:rsidRDefault="009615FF">
      <w:pPr>
        <w:ind w:right="6"/>
        <w:jc w:val="center"/>
        <w:rPr>
          <w:sz w:val="20"/>
          <w:szCs w:val="20"/>
          <w:lang w:val="en-US"/>
        </w:rPr>
      </w:pPr>
      <w:proofErr w:type="gramStart"/>
      <w:r w:rsidRPr="009615FF">
        <w:rPr>
          <w:rFonts w:ascii="Calibri" w:eastAsia="Calibri" w:hAnsi="Calibri" w:cs="Calibri"/>
          <w:sz w:val="24"/>
          <w:szCs w:val="24"/>
          <w:lang w:val="en-US"/>
        </w:rPr>
        <w:t>e-mail</w:t>
      </w:r>
      <w:proofErr w:type="gramEnd"/>
      <w:r w:rsidRPr="009615FF">
        <w:rPr>
          <w:rFonts w:ascii="Calibri" w:eastAsia="Calibri" w:hAnsi="Calibri" w:cs="Calibri"/>
          <w:sz w:val="24"/>
          <w:szCs w:val="24"/>
          <w:lang w:val="en-US"/>
        </w:rPr>
        <w:t>: Calibri 12 normal</w:t>
      </w:r>
    </w:p>
    <w:p w:rsidR="002F55F2" w:rsidRPr="009615FF" w:rsidRDefault="002F55F2">
      <w:pPr>
        <w:spacing w:line="292" w:lineRule="exact"/>
        <w:rPr>
          <w:sz w:val="24"/>
          <w:szCs w:val="24"/>
          <w:lang w:val="en-US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>HEADINGS</w:t>
      </w:r>
    </w:p>
    <w:p w:rsidR="002F55F2" w:rsidRPr="009615FF" w:rsidRDefault="002F55F2">
      <w:pPr>
        <w:spacing w:line="53" w:lineRule="exact"/>
        <w:rPr>
          <w:sz w:val="24"/>
          <w:szCs w:val="24"/>
          <w:lang w:val="en-US"/>
        </w:rPr>
      </w:pPr>
    </w:p>
    <w:p w:rsidR="002F55F2" w:rsidRDefault="009615FF">
      <w:pPr>
        <w:spacing w:line="229" w:lineRule="auto"/>
        <w:ind w:left="360" w:right="346"/>
        <w:jc w:val="both"/>
        <w:rPr>
          <w:sz w:val="20"/>
          <w:szCs w:val="20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Number sections using </w:t>
      </w:r>
      <w:proofErr w:type="gramStart"/>
      <w:r w:rsidRPr="009615FF">
        <w:rPr>
          <w:rFonts w:ascii="Calibri" w:eastAsia="Calibri" w:hAnsi="Calibri" w:cs="Calibri"/>
          <w:i/>
          <w:iCs/>
          <w:sz w:val="24"/>
          <w:szCs w:val="24"/>
          <w:lang w:val="en-US"/>
        </w:rPr>
        <w:t>1.,</w:t>
      </w:r>
      <w:proofErr w:type="gramEnd"/>
      <w:r w:rsidRPr="009615FF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2., 3.,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 and subsections using </w:t>
      </w:r>
      <w:r w:rsidRPr="009615FF">
        <w:rPr>
          <w:rFonts w:ascii="Calibri" w:eastAsia="Calibri" w:hAnsi="Calibri" w:cs="Calibri"/>
          <w:i/>
          <w:iCs/>
          <w:sz w:val="24"/>
          <w:szCs w:val="24"/>
          <w:lang w:val="en-US"/>
        </w:rPr>
        <w:t>1.1, 1.2, 1.3,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 a.s.o, as you deem appropriate. (Sub</w:t>
      </w:r>
      <w:proofErr w:type="gramStart"/>
      <w:r w:rsidRPr="009615FF">
        <w:rPr>
          <w:rFonts w:ascii="Calibri" w:eastAsia="Calibri" w:hAnsi="Calibri" w:cs="Calibri"/>
          <w:sz w:val="24"/>
          <w:szCs w:val="24"/>
          <w:lang w:val="en-US"/>
        </w:rPr>
        <w:t>)section</w:t>
      </w:r>
      <w:proofErr w:type="gramEnd"/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 headings should be italicized. Leave a line after headings and begin flush right without indenting the first paragraph but only each subsequent one. </w:t>
      </w:r>
      <w:r>
        <w:rPr>
          <w:rFonts w:ascii="Calibri" w:eastAsia="Calibri" w:hAnsi="Calibri" w:cs="Calibri"/>
          <w:sz w:val="24"/>
          <w:szCs w:val="24"/>
        </w:rPr>
        <w:t>E.g.,</w:t>
      </w:r>
    </w:p>
    <w:p w:rsidR="002F55F2" w:rsidRDefault="002F55F2">
      <w:pPr>
        <w:spacing w:line="293" w:lineRule="exact"/>
        <w:rPr>
          <w:sz w:val="24"/>
          <w:szCs w:val="24"/>
        </w:rPr>
      </w:pPr>
    </w:p>
    <w:p w:rsidR="002F55F2" w:rsidRDefault="009615F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1.  Introduction</w:t>
      </w:r>
    </w:p>
    <w:p w:rsidR="002F55F2" w:rsidRDefault="002F55F2">
      <w:pPr>
        <w:spacing w:line="295" w:lineRule="exact"/>
        <w:rPr>
          <w:sz w:val="24"/>
          <w:szCs w:val="24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In this paper we shall attempt to sh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>ow that…</w:t>
      </w:r>
    </w:p>
    <w:p w:rsidR="002F55F2" w:rsidRPr="009615FF" w:rsidRDefault="002F55F2">
      <w:pPr>
        <w:spacing w:line="293" w:lineRule="exact"/>
        <w:rPr>
          <w:sz w:val="24"/>
          <w:szCs w:val="24"/>
          <w:lang w:val="en-US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>MAIN BODY</w:t>
      </w: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All subsequent paragraphs must be indented (set tab at 1).</w:t>
      </w:r>
    </w:p>
    <w:p w:rsidR="002F55F2" w:rsidRPr="009615FF" w:rsidRDefault="002F55F2">
      <w:pPr>
        <w:spacing w:line="345" w:lineRule="exact"/>
        <w:rPr>
          <w:sz w:val="24"/>
          <w:szCs w:val="24"/>
          <w:lang w:val="en-US"/>
        </w:rPr>
      </w:pPr>
    </w:p>
    <w:p w:rsidR="002F55F2" w:rsidRPr="009615FF" w:rsidRDefault="009615FF">
      <w:pPr>
        <w:spacing w:line="229" w:lineRule="auto"/>
        <w:ind w:left="360" w:right="346"/>
        <w:jc w:val="both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Quotations of more than 20-25 words should be avoided, if possible. However, if you cannot avoid them they should be indented (set tab at 1) and set apart from the main body of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 the text in smaller font (Calibri 11); a line should be left before and after the indented quotation, as in the example:</w:t>
      </w:r>
    </w:p>
    <w:p w:rsidR="002F55F2" w:rsidRPr="009615FF" w:rsidRDefault="002F55F2">
      <w:pPr>
        <w:rPr>
          <w:lang w:val="en-US"/>
        </w:rPr>
        <w:sectPr w:rsidR="002F55F2" w:rsidRPr="009615FF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F55F2" w:rsidRPr="009615FF" w:rsidRDefault="002F55F2">
      <w:pPr>
        <w:spacing w:line="48" w:lineRule="exact"/>
        <w:rPr>
          <w:sz w:val="20"/>
          <w:szCs w:val="20"/>
          <w:lang w:val="en-US"/>
        </w:rPr>
      </w:pPr>
      <w:bookmarkStart w:id="1" w:name="page2"/>
      <w:bookmarkEnd w:id="1"/>
    </w:p>
    <w:p w:rsidR="002F55F2" w:rsidRPr="009615FF" w:rsidRDefault="009615FF">
      <w:pPr>
        <w:spacing w:line="218" w:lineRule="auto"/>
        <w:ind w:left="360" w:right="366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highlight w:val="yellow"/>
          <w:lang w:val="en-US"/>
        </w:rPr>
        <w:t xml:space="preserve">A detailed critique of queer linguistics is beyond the scope of this paper, but a couple of points should be made, </w:t>
      </w:r>
      <w:r w:rsidRPr="009615FF">
        <w:rPr>
          <w:rFonts w:ascii="Calibri" w:eastAsia="Calibri" w:hAnsi="Calibri" w:cs="Calibri"/>
          <w:sz w:val="24"/>
          <w:szCs w:val="24"/>
          <w:highlight w:val="yellow"/>
          <w:lang w:val="en-US"/>
        </w:rPr>
        <w:t>and Hall does that eloquently:</w:t>
      </w:r>
    </w:p>
    <w:p w:rsidR="002F55F2" w:rsidRPr="009615FF" w:rsidRDefault="002F55F2">
      <w:pPr>
        <w:spacing w:line="315" w:lineRule="exact"/>
        <w:rPr>
          <w:sz w:val="20"/>
          <w:szCs w:val="20"/>
          <w:lang w:val="en-US"/>
        </w:rPr>
      </w:pPr>
    </w:p>
    <w:p w:rsidR="002F55F2" w:rsidRPr="009615FF" w:rsidRDefault="009615FF">
      <w:pPr>
        <w:spacing w:line="231" w:lineRule="auto"/>
        <w:ind w:left="920" w:right="366"/>
        <w:jc w:val="both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highlight w:val="yellow"/>
          <w:lang w:val="en-US"/>
        </w:rPr>
        <w:t>From a political perspective, I am concerned that queer theory, by maintaining its analytic distinction between practice and identity, ignores the subjectivity of those it was initiated to defend. From a sociocultural lingui</w:t>
      </w:r>
      <w:r w:rsidRPr="009615FF">
        <w:rPr>
          <w:rFonts w:ascii="Calibri" w:eastAsia="Calibri" w:hAnsi="Calibri" w:cs="Calibri"/>
          <w:highlight w:val="yellow"/>
          <w:lang w:val="en-US"/>
        </w:rPr>
        <w:t>stic perspective, I am concerned that this distinction leads to a static account of the indexical processes that give rise to social meaning. (Hall 2013: 640)</w:t>
      </w:r>
    </w:p>
    <w:p w:rsidR="002F55F2" w:rsidRPr="009615FF" w:rsidRDefault="002F55F2">
      <w:pPr>
        <w:spacing w:line="352" w:lineRule="exact"/>
        <w:rPr>
          <w:sz w:val="20"/>
          <w:szCs w:val="20"/>
          <w:lang w:val="en-US"/>
        </w:rPr>
      </w:pPr>
    </w:p>
    <w:p w:rsidR="002F55F2" w:rsidRPr="009615FF" w:rsidRDefault="009615FF">
      <w:pPr>
        <w:spacing w:line="231" w:lineRule="auto"/>
        <w:ind w:left="360" w:right="366"/>
        <w:jc w:val="both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highlight w:val="yellow"/>
          <w:lang w:val="en-US"/>
        </w:rPr>
        <w:t>Hall’s second point relates to (linguistic and social) categorisation at large. This may be fuzz</w:t>
      </w:r>
      <w:r w:rsidRPr="009615FF">
        <w:rPr>
          <w:rFonts w:ascii="Calibri" w:eastAsia="Calibri" w:hAnsi="Calibri" w:cs="Calibri"/>
          <w:sz w:val="24"/>
          <w:szCs w:val="24"/>
          <w:highlight w:val="yellow"/>
          <w:lang w:val="en-US"/>
        </w:rPr>
        <w:t xml:space="preserve">y (rather than Aristotelian; cf. Lakoff 1982, 1987; Taylor 2010) and dynamic (rather than static), but it is </w:t>
      </w:r>
      <w:r w:rsidRPr="009615FF">
        <w:rPr>
          <w:rFonts w:ascii="Calibri" w:eastAsia="Calibri" w:hAnsi="Calibri" w:cs="Calibri"/>
          <w:i/>
          <w:iCs/>
          <w:sz w:val="24"/>
          <w:szCs w:val="24"/>
          <w:highlight w:val="yellow"/>
          <w:lang w:val="en-US"/>
        </w:rPr>
        <w:t>inescapable</w:t>
      </w:r>
      <w:r w:rsidRPr="009615FF">
        <w:rPr>
          <w:rFonts w:ascii="Calibri" w:eastAsia="Calibri" w:hAnsi="Calibri" w:cs="Calibri"/>
          <w:sz w:val="24"/>
          <w:szCs w:val="24"/>
          <w:highlight w:val="yellow"/>
          <w:lang w:val="en-US"/>
        </w:rPr>
        <w:t>; and so are the indexical relations between categories themselves (which Bucholtz and Hall 2004, 2005 have attempted to capture).</w:t>
      </w:r>
    </w:p>
    <w:p w:rsidR="002F55F2" w:rsidRPr="009615FF" w:rsidRDefault="002F55F2">
      <w:pPr>
        <w:spacing w:line="295" w:lineRule="exact"/>
        <w:rPr>
          <w:sz w:val="20"/>
          <w:szCs w:val="20"/>
          <w:lang w:val="en-US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>FOOT</w:t>
      </w: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>NOTES</w:t>
      </w:r>
    </w:p>
    <w:p w:rsidR="002F55F2" w:rsidRPr="009615FF" w:rsidRDefault="002F55F2">
      <w:pPr>
        <w:spacing w:line="53" w:lineRule="exact"/>
        <w:rPr>
          <w:sz w:val="20"/>
          <w:szCs w:val="20"/>
          <w:lang w:val="en-US"/>
        </w:rPr>
      </w:pPr>
    </w:p>
    <w:p w:rsidR="002F55F2" w:rsidRPr="009615FF" w:rsidRDefault="009615FF">
      <w:pPr>
        <w:spacing w:line="225" w:lineRule="auto"/>
        <w:ind w:left="360" w:right="346"/>
        <w:jc w:val="both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Notes should appear as footnotes, rather than endnotes, and they should be numbered consecutively as 1, 2, </w:t>
      </w:r>
      <w:proofErr w:type="gramStart"/>
      <w:r w:rsidRPr="009615FF">
        <w:rPr>
          <w:rFonts w:ascii="Calibri" w:eastAsia="Calibri" w:hAnsi="Calibri" w:cs="Calibri"/>
          <w:sz w:val="24"/>
          <w:szCs w:val="24"/>
          <w:lang w:val="en-US"/>
        </w:rPr>
        <w:t>3</w:t>
      </w:r>
      <w:proofErr w:type="gramEnd"/>
      <w:r w:rsidRPr="009615FF">
        <w:rPr>
          <w:rFonts w:ascii="Calibri" w:eastAsia="Calibri" w:hAnsi="Calibri" w:cs="Calibri"/>
          <w:sz w:val="24"/>
          <w:szCs w:val="24"/>
          <w:lang w:val="en-US"/>
        </w:rPr>
        <w:t>, etc. in Calibri size 10. Please leave a space after the footnote number before typing the footnote text.</w:t>
      </w:r>
    </w:p>
    <w:p w:rsidR="002F55F2" w:rsidRPr="009615FF" w:rsidRDefault="002F55F2">
      <w:pPr>
        <w:spacing w:line="294" w:lineRule="exact"/>
        <w:rPr>
          <w:sz w:val="20"/>
          <w:szCs w:val="20"/>
          <w:lang w:val="en-US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>INTERTEXTUAL REFERENCES</w:t>
      </w: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>Examples</w:t>
      </w:r>
    </w:p>
    <w:p w:rsidR="002F55F2" w:rsidRPr="009615FF" w:rsidRDefault="002F55F2">
      <w:pPr>
        <w:spacing w:line="55" w:lineRule="exact"/>
        <w:rPr>
          <w:sz w:val="20"/>
          <w:szCs w:val="20"/>
          <w:lang w:val="en-US"/>
        </w:rPr>
      </w:pPr>
    </w:p>
    <w:p w:rsidR="002F55F2" w:rsidRPr="009615FF" w:rsidRDefault="009615FF">
      <w:pPr>
        <w:spacing w:line="218" w:lineRule="auto"/>
        <w:ind w:left="360" w:right="366"/>
        <w:jc w:val="both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Advocating sexuality as desire (Kulick 2000, 2003; Cameron 2005; Cameron &amp; Kulick 2003, 2005, 2006) has worked as a catalyst for the field.</w:t>
      </w:r>
    </w:p>
    <w:p w:rsidR="002F55F2" w:rsidRPr="009615FF" w:rsidRDefault="002F55F2">
      <w:pPr>
        <w:spacing w:line="347" w:lineRule="exact"/>
        <w:rPr>
          <w:sz w:val="20"/>
          <w:szCs w:val="20"/>
          <w:lang w:val="en-US"/>
        </w:rPr>
      </w:pPr>
    </w:p>
    <w:p w:rsidR="002F55F2" w:rsidRPr="009615FF" w:rsidRDefault="009615FF">
      <w:pPr>
        <w:spacing w:line="229" w:lineRule="auto"/>
        <w:ind w:left="360" w:right="366"/>
        <w:jc w:val="both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Recent research (Sauntson &amp; Kyratzis 2007; Morrish &amp; Leap 2007) has shown both concepts to be manifestly relevant 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>to the study of language and sexuality, and intricately implicated in gendered self- and other-representation, given heteronormativity.</w:t>
      </w:r>
    </w:p>
    <w:p w:rsidR="002F55F2" w:rsidRPr="009615FF" w:rsidRDefault="002F55F2">
      <w:pPr>
        <w:spacing w:line="346" w:lineRule="exact"/>
        <w:rPr>
          <w:sz w:val="20"/>
          <w:szCs w:val="20"/>
          <w:lang w:val="en-US"/>
        </w:rPr>
      </w:pPr>
    </w:p>
    <w:p w:rsidR="002F55F2" w:rsidRPr="009615FF" w:rsidRDefault="009615FF">
      <w:pPr>
        <w:spacing w:line="229" w:lineRule="auto"/>
        <w:ind w:left="360" w:right="366"/>
        <w:jc w:val="both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On the other hand, the ‘critical approach to heteronormativity’ emphatically advocated by queer linguistics can hardly 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>be dissociated from issues of identity and desire in language, as heteronormativity specifically aims at policing their correlation vis-a-vis gender norms (Coates 2013: 536).</w:t>
      </w:r>
    </w:p>
    <w:p w:rsidR="002F55F2" w:rsidRPr="009615FF" w:rsidRDefault="002F55F2">
      <w:pPr>
        <w:spacing w:line="293" w:lineRule="exact"/>
        <w:rPr>
          <w:sz w:val="20"/>
          <w:szCs w:val="20"/>
          <w:lang w:val="en-US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>EXAMPLES, TABLES, AND DIAGRAMS</w:t>
      </w:r>
    </w:p>
    <w:p w:rsidR="002F55F2" w:rsidRPr="009615FF" w:rsidRDefault="002F55F2">
      <w:pPr>
        <w:spacing w:line="53" w:lineRule="exact"/>
        <w:rPr>
          <w:sz w:val="20"/>
          <w:szCs w:val="20"/>
          <w:lang w:val="en-US"/>
        </w:rPr>
      </w:pPr>
    </w:p>
    <w:p w:rsidR="002F55F2" w:rsidRPr="009615FF" w:rsidRDefault="009615FF">
      <w:pPr>
        <w:spacing w:line="229" w:lineRule="auto"/>
        <w:ind w:left="360" w:right="346"/>
        <w:jc w:val="both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Examples, tables, and diagrams should be numbere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d consecutively using 1, 2, </w:t>
      </w:r>
      <w:proofErr w:type="gramStart"/>
      <w:r w:rsidRPr="009615FF">
        <w:rPr>
          <w:rFonts w:ascii="Calibri" w:eastAsia="Calibri" w:hAnsi="Calibri" w:cs="Calibri"/>
          <w:sz w:val="24"/>
          <w:szCs w:val="24"/>
          <w:lang w:val="en-US"/>
        </w:rPr>
        <w:t>3</w:t>
      </w:r>
      <w:proofErr w:type="gramEnd"/>
      <w:r w:rsidRPr="009615FF">
        <w:rPr>
          <w:rFonts w:ascii="Calibri" w:eastAsia="Calibri" w:hAnsi="Calibri" w:cs="Calibri"/>
          <w:sz w:val="24"/>
          <w:szCs w:val="24"/>
          <w:lang w:val="en-US"/>
        </w:rPr>
        <w:t>. Simple numbering will do for examples (i.e., without the word “Example” preceding the number). However, if you must use tables or/and diagrams, then you should write “Table 1” or “Diagram 1” etc., as appropriate.</w:t>
      </w:r>
    </w:p>
    <w:p w:rsidR="002F55F2" w:rsidRPr="009615FF" w:rsidRDefault="002F55F2">
      <w:pPr>
        <w:spacing w:line="295" w:lineRule="exact"/>
        <w:rPr>
          <w:sz w:val="20"/>
          <w:szCs w:val="20"/>
          <w:lang w:val="en-US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>REFERENCES</w:t>
      </w:r>
    </w:p>
    <w:p w:rsidR="002F55F2" w:rsidRPr="009615FF" w:rsidRDefault="002F55F2">
      <w:pPr>
        <w:spacing w:line="53" w:lineRule="exact"/>
        <w:rPr>
          <w:sz w:val="20"/>
          <w:szCs w:val="20"/>
          <w:lang w:val="en-US"/>
        </w:rPr>
      </w:pPr>
    </w:p>
    <w:p w:rsidR="002F55F2" w:rsidRPr="009615FF" w:rsidRDefault="009615FF">
      <w:pPr>
        <w:spacing w:line="218" w:lineRule="auto"/>
        <w:ind w:left="360" w:right="346"/>
        <w:jc w:val="both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References should include all works cited (and be limited only to works cited). The second line of each entry should be indented (set tab at 0</w:t>
      </w:r>
      <w:proofErr w:type="gramStart"/>
      <w:r w:rsidRPr="009615FF">
        <w:rPr>
          <w:rFonts w:ascii="Calibri" w:eastAsia="Calibri" w:hAnsi="Calibri" w:cs="Calibri"/>
          <w:sz w:val="24"/>
          <w:szCs w:val="24"/>
          <w:lang w:val="en-US"/>
        </w:rPr>
        <w:t>,5</w:t>
      </w:r>
      <w:proofErr w:type="gramEnd"/>
      <w:r w:rsidRPr="009615FF">
        <w:rPr>
          <w:rFonts w:ascii="Calibri" w:eastAsia="Calibri" w:hAnsi="Calibri" w:cs="Calibri"/>
          <w:sz w:val="24"/>
          <w:szCs w:val="24"/>
          <w:lang w:val="en-US"/>
        </w:rPr>
        <w:t>).</w:t>
      </w:r>
    </w:p>
    <w:p w:rsidR="002F55F2" w:rsidRPr="009615FF" w:rsidRDefault="002F55F2">
      <w:pPr>
        <w:spacing w:line="293" w:lineRule="exact"/>
        <w:rPr>
          <w:sz w:val="20"/>
          <w:szCs w:val="20"/>
          <w:lang w:val="en-US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b/>
          <w:bCs/>
          <w:sz w:val="24"/>
          <w:szCs w:val="24"/>
          <w:lang w:val="en-US"/>
        </w:rPr>
        <w:t>Examples</w:t>
      </w: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i/>
          <w:sz w:val="24"/>
          <w:szCs w:val="24"/>
          <w:lang w:val="en-US"/>
        </w:rPr>
        <w:t>BOOK OR VOLUME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>:</w:t>
      </w: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Duranti, A. 1997. </w:t>
      </w:r>
      <w:r w:rsidRPr="009615FF">
        <w:rPr>
          <w:rFonts w:ascii="Calibri" w:eastAsia="Calibri" w:hAnsi="Calibri" w:cs="Calibri"/>
          <w:i/>
          <w:iCs/>
          <w:sz w:val="24"/>
          <w:szCs w:val="24"/>
          <w:lang w:val="en-US"/>
        </w:rPr>
        <w:t>Linguistic Anthropology.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 Cambridge: Cambridge University Press.</w:t>
      </w:r>
    </w:p>
    <w:p w:rsidR="002F55F2" w:rsidRPr="009615FF" w:rsidRDefault="002F55F2">
      <w:pPr>
        <w:rPr>
          <w:lang w:val="en-US"/>
        </w:rPr>
        <w:sectPr w:rsidR="002F55F2" w:rsidRPr="009615FF">
          <w:pgSz w:w="11900" w:h="16838"/>
          <w:pgMar w:top="1440" w:right="1440" w:bottom="921" w:left="1440" w:header="0" w:footer="0" w:gutter="0"/>
          <w:cols w:space="720" w:equalWidth="0">
            <w:col w:w="9026"/>
          </w:cols>
        </w:sect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bookmarkStart w:id="2" w:name="page3"/>
      <w:bookmarkEnd w:id="2"/>
      <w:r w:rsidRPr="009615FF">
        <w:rPr>
          <w:rFonts w:ascii="Calibri" w:eastAsia="Calibri" w:hAnsi="Calibri" w:cs="Calibri"/>
          <w:sz w:val="24"/>
          <w:szCs w:val="24"/>
          <w:lang w:val="en-US"/>
        </w:rPr>
        <w:lastRenderedPageBreak/>
        <w:t>Shohamy, E., Ben-Rafael, E., &amp; Barni, M. (</w:t>
      </w:r>
      <w:proofErr w:type="gramStart"/>
      <w:r w:rsidRPr="009615FF">
        <w:rPr>
          <w:rFonts w:ascii="Calibri" w:eastAsia="Calibri" w:hAnsi="Calibri" w:cs="Calibri"/>
          <w:sz w:val="24"/>
          <w:szCs w:val="24"/>
          <w:lang w:val="en-US"/>
        </w:rPr>
        <w:t>eds</w:t>
      </w:r>
      <w:proofErr w:type="gramEnd"/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.). 2010. </w:t>
      </w:r>
      <w:r w:rsidRPr="009615FF">
        <w:rPr>
          <w:rFonts w:ascii="Calibri" w:eastAsia="Calibri" w:hAnsi="Calibri" w:cs="Calibri"/>
          <w:i/>
          <w:iCs/>
          <w:sz w:val="24"/>
          <w:szCs w:val="24"/>
          <w:lang w:val="en-US"/>
        </w:rPr>
        <w:t>Linguistic Landscape in the City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2F55F2" w:rsidRPr="009615FF" w:rsidRDefault="009615FF">
      <w:pPr>
        <w:ind w:left="64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Clevendon: Multilingual Matters.</w:t>
      </w:r>
    </w:p>
    <w:p w:rsidR="002F55F2" w:rsidRPr="009615FF" w:rsidRDefault="002F55F2">
      <w:pPr>
        <w:spacing w:line="292" w:lineRule="exact"/>
        <w:rPr>
          <w:sz w:val="20"/>
          <w:szCs w:val="20"/>
          <w:lang w:val="en-US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i/>
          <w:sz w:val="24"/>
          <w:szCs w:val="24"/>
          <w:lang w:val="en-US"/>
        </w:rPr>
        <w:t>ARTICLE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 (contribution in book or volume):</w:t>
      </w:r>
    </w:p>
    <w:p w:rsidR="002F55F2" w:rsidRPr="009615FF" w:rsidRDefault="002F55F2">
      <w:pPr>
        <w:spacing w:line="53" w:lineRule="exact"/>
        <w:rPr>
          <w:sz w:val="20"/>
          <w:szCs w:val="20"/>
          <w:lang w:val="en-US"/>
        </w:rPr>
      </w:pPr>
    </w:p>
    <w:p w:rsidR="002F55F2" w:rsidRPr="009615FF" w:rsidRDefault="009615FF">
      <w:pPr>
        <w:spacing w:line="225" w:lineRule="auto"/>
        <w:ind w:left="640" w:right="606" w:hanging="282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Huebner, T. 2009. “A framework for the linguistic analysis of linguistic landscapes.” In E. Shohamy &amp; D. Gorter (eds.), </w:t>
      </w:r>
      <w:r w:rsidRPr="009615FF">
        <w:rPr>
          <w:rFonts w:ascii="Calibri" w:eastAsia="Calibri" w:hAnsi="Calibri" w:cs="Calibri"/>
          <w:i/>
          <w:iCs/>
          <w:sz w:val="24"/>
          <w:szCs w:val="24"/>
          <w:lang w:val="en-US"/>
        </w:rPr>
        <w:t>Linguistic landscape: Expanding the scenery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>. New York, NY: Routledge, 70-87.</w:t>
      </w:r>
    </w:p>
    <w:p w:rsidR="002F55F2" w:rsidRPr="009615FF" w:rsidRDefault="002F55F2">
      <w:pPr>
        <w:spacing w:line="297" w:lineRule="exact"/>
        <w:rPr>
          <w:sz w:val="20"/>
          <w:szCs w:val="20"/>
          <w:lang w:val="en-US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bookmarkStart w:id="3" w:name="_GoBack"/>
      <w:r w:rsidRPr="009615FF">
        <w:rPr>
          <w:rFonts w:ascii="Calibri" w:eastAsia="Calibri" w:hAnsi="Calibri" w:cs="Calibri"/>
          <w:i/>
          <w:sz w:val="24"/>
          <w:szCs w:val="24"/>
          <w:lang w:val="en-US"/>
        </w:rPr>
        <w:t>ARTICLE</w:t>
      </w:r>
      <w:bookmarkEnd w:id="3"/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 (in journal):</w:t>
      </w:r>
    </w:p>
    <w:p w:rsidR="002F55F2" w:rsidRPr="009615FF" w:rsidRDefault="002F55F2">
      <w:pPr>
        <w:spacing w:line="53" w:lineRule="exact"/>
        <w:rPr>
          <w:sz w:val="20"/>
          <w:szCs w:val="20"/>
          <w:lang w:val="en-US"/>
        </w:rPr>
      </w:pPr>
    </w:p>
    <w:p w:rsidR="002F55F2" w:rsidRPr="009615FF" w:rsidRDefault="009615FF">
      <w:pPr>
        <w:spacing w:line="225" w:lineRule="auto"/>
        <w:ind w:left="640" w:right="366" w:hanging="282"/>
        <w:jc w:val="both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Stroud, C. &amp; Jegels, D. 2014. “Semi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otic landscapes and mobile narrations of place: Performing the local.” </w:t>
      </w:r>
      <w:r w:rsidRPr="009615FF">
        <w:rPr>
          <w:rFonts w:ascii="Calibri" w:eastAsia="Calibri" w:hAnsi="Calibri" w:cs="Calibri"/>
          <w:i/>
          <w:iCs/>
          <w:sz w:val="24"/>
          <w:szCs w:val="24"/>
          <w:lang w:val="en-US"/>
        </w:rPr>
        <w:t>International Journal of the Sociology of Language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 238: 179-199.</w:t>
      </w:r>
    </w:p>
    <w:p w:rsidR="002F55F2" w:rsidRPr="009615FF" w:rsidRDefault="002F55F2">
      <w:pPr>
        <w:spacing w:line="2" w:lineRule="exact"/>
        <w:rPr>
          <w:sz w:val="20"/>
          <w:szCs w:val="20"/>
          <w:lang w:val="en-US"/>
        </w:rPr>
      </w:pPr>
    </w:p>
    <w:p w:rsidR="002F55F2" w:rsidRPr="009615FF" w:rsidRDefault="009615FF">
      <w:pPr>
        <w:ind w:left="360"/>
        <w:rPr>
          <w:sz w:val="20"/>
          <w:szCs w:val="20"/>
          <w:lang w:val="en-US"/>
        </w:rPr>
      </w:pPr>
      <w:r w:rsidRPr="009615FF">
        <w:rPr>
          <w:rFonts w:ascii="Calibri" w:eastAsia="Calibri" w:hAnsi="Calibri" w:cs="Calibri"/>
          <w:sz w:val="24"/>
          <w:szCs w:val="24"/>
          <w:lang w:val="en-US"/>
        </w:rPr>
        <w:t>Landry, R. &amp; Bourhis, R.Y. 1997. “Linguistic landscape and ethnolinguistic vitality: An</w:t>
      </w:r>
    </w:p>
    <w:p w:rsidR="002F55F2" w:rsidRPr="009615FF" w:rsidRDefault="009615FF">
      <w:pPr>
        <w:ind w:left="640"/>
        <w:rPr>
          <w:sz w:val="20"/>
          <w:szCs w:val="20"/>
          <w:lang w:val="en-US"/>
        </w:rPr>
      </w:pPr>
      <w:proofErr w:type="gramStart"/>
      <w:r w:rsidRPr="009615FF">
        <w:rPr>
          <w:rFonts w:ascii="Calibri" w:eastAsia="Calibri" w:hAnsi="Calibri" w:cs="Calibri"/>
          <w:sz w:val="24"/>
          <w:szCs w:val="24"/>
          <w:lang w:val="en-US"/>
        </w:rPr>
        <w:t>empirical</w:t>
      </w:r>
      <w:proofErr w:type="gramEnd"/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 study.” </w:t>
      </w:r>
      <w:r w:rsidRPr="009615FF">
        <w:rPr>
          <w:rFonts w:ascii="Calibri" w:eastAsia="Calibri" w:hAnsi="Calibri" w:cs="Calibri"/>
          <w:i/>
          <w:iCs/>
          <w:sz w:val="24"/>
          <w:szCs w:val="24"/>
          <w:lang w:val="en-US"/>
        </w:rPr>
        <w:t>Journal of la</w:t>
      </w:r>
      <w:r w:rsidRPr="009615FF">
        <w:rPr>
          <w:rFonts w:ascii="Calibri" w:eastAsia="Calibri" w:hAnsi="Calibri" w:cs="Calibri"/>
          <w:i/>
          <w:iCs/>
          <w:sz w:val="24"/>
          <w:szCs w:val="24"/>
          <w:lang w:val="en-US"/>
        </w:rPr>
        <w:t>nguage and social psychology</w:t>
      </w:r>
      <w:r w:rsidRPr="009615FF">
        <w:rPr>
          <w:rFonts w:ascii="Calibri" w:eastAsia="Calibri" w:hAnsi="Calibri" w:cs="Calibri"/>
          <w:sz w:val="24"/>
          <w:szCs w:val="24"/>
          <w:lang w:val="en-US"/>
        </w:rPr>
        <w:t xml:space="preserve"> 16(1): 23-49.</w:t>
      </w:r>
    </w:p>
    <w:sectPr w:rsidR="002F55F2" w:rsidRPr="009615FF">
      <w:pgSz w:w="11900" w:h="16838"/>
      <w:pgMar w:top="143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2"/>
    <w:rsid w:val="002F55F2"/>
    <w:rsid w:val="009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3482D-FF54-4C75-ACEF-CFC2102B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Irakleitos Sougioultzoglou</cp:lastModifiedBy>
  <cp:revision>3</cp:revision>
  <dcterms:created xsi:type="dcterms:W3CDTF">2017-11-15T04:56:00Z</dcterms:created>
  <dcterms:modified xsi:type="dcterms:W3CDTF">2017-11-15T09:57:00Z</dcterms:modified>
</cp:coreProperties>
</file>